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方正小标宋_GBK"/>
          <w:spacing w:val="24"/>
          <w:kern w:val="0"/>
          <w:sz w:val="44"/>
          <w:szCs w:val="44"/>
          <w:fitText w:val="464" w:id="178245438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方正小标宋_GBK"/>
          <w:kern w:val="0"/>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方正小标宋_GBK"/>
          <w:kern w:val="0"/>
          <w:sz w:val="44"/>
          <w:szCs w:val="44"/>
        </w:rPr>
      </w:pPr>
      <w:r>
        <w:rPr>
          <w:rFonts w:hint="eastAsia" w:eastAsia="方正小标宋_GBK"/>
          <w:spacing w:val="24"/>
          <w:kern w:val="0"/>
          <w:sz w:val="44"/>
          <w:szCs w:val="44"/>
          <w:fitText w:val="4840" w:id="642191744"/>
        </w:rPr>
        <w:t>重庆市交通运输委员</w:t>
      </w:r>
      <w:r>
        <w:rPr>
          <w:rFonts w:hint="eastAsia" w:eastAsia="方正小标宋_GBK"/>
          <w:spacing w:val="4"/>
          <w:kern w:val="0"/>
          <w:sz w:val="44"/>
          <w:szCs w:val="44"/>
          <w:fitText w:val="4840" w:id="642191744"/>
        </w:rPr>
        <w:t>会</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方正小标宋_GBK"/>
          <w:sz w:val="44"/>
          <w:szCs w:val="44"/>
        </w:rPr>
      </w:pPr>
      <w:r>
        <w:rPr>
          <w:rFonts w:hint="eastAsia" w:eastAsia="方正小标宋_GBK"/>
          <w:spacing w:val="0"/>
          <w:kern w:val="0"/>
          <w:sz w:val="44"/>
          <w:szCs w:val="44"/>
          <w:fitText w:val="4840" w:id="338510104"/>
        </w:rPr>
        <w:t>重庆市发展</w:t>
      </w:r>
      <w:r>
        <w:rPr>
          <w:rFonts w:eastAsia="方正小标宋_GBK"/>
          <w:spacing w:val="0"/>
          <w:kern w:val="0"/>
          <w:sz w:val="44"/>
          <w:szCs w:val="44"/>
          <w:fitText w:val="4840" w:id="338510104"/>
        </w:rPr>
        <w:t>和</w:t>
      </w:r>
      <w:r>
        <w:rPr>
          <w:rFonts w:hint="eastAsia" w:eastAsia="方正小标宋_GBK"/>
          <w:spacing w:val="0"/>
          <w:kern w:val="0"/>
          <w:sz w:val="44"/>
          <w:szCs w:val="44"/>
          <w:fitText w:val="4840" w:id="338510104"/>
        </w:rPr>
        <w:t>改革委员会</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方正小标宋_GBK"/>
          <w:sz w:val="44"/>
          <w:szCs w:val="44"/>
        </w:rPr>
      </w:pPr>
      <w:r>
        <w:rPr>
          <w:rFonts w:hint="eastAsia" w:eastAsia="方正小标宋_GBK"/>
          <w:spacing w:val="220"/>
          <w:kern w:val="0"/>
          <w:sz w:val="44"/>
          <w:szCs w:val="44"/>
          <w:fitText w:val="4840" w:id="330964660"/>
        </w:rPr>
        <w:t>重庆市公安</w:t>
      </w:r>
      <w:r>
        <w:rPr>
          <w:rFonts w:hint="eastAsia" w:eastAsia="方正小标宋_GBK"/>
          <w:spacing w:val="0"/>
          <w:kern w:val="0"/>
          <w:sz w:val="44"/>
          <w:szCs w:val="44"/>
          <w:fitText w:val="4840" w:id="330964660"/>
        </w:rPr>
        <w:t>局</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方正小标宋_GBK"/>
          <w:sz w:val="44"/>
          <w:szCs w:val="44"/>
        </w:rPr>
      </w:pPr>
      <w:r>
        <w:rPr>
          <w:rFonts w:hint="eastAsia" w:eastAsia="方正小标宋_GBK"/>
          <w:spacing w:val="94"/>
          <w:kern w:val="0"/>
          <w:sz w:val="44"/>
          <w:szCs w:val="44"/>
          <w:fitText w:val="4840" w:id="1164269322"/>
        </w:rPr>
        <w:t>重庆市商务委员</w:t>
      </w:r>
      <w:r>
        <w:rPr>
          <w:rFonts w:hint="eastAsia" w:eastAsia="方正小标宋_GBK"/>
          <w:spacing w:val="2"/>
          <w:kern w:val="0"/>
          <w:sz w:val="44"/>
          <w:szCs w:val="44"/>
          <w:fitText w:val="4840" w:id="1164269322"/>
        </w:rPr>
        <w:t>会</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方正小标宋_GBK"/>
          <w:sz w:val="44"/>
          <w:szCs w:val="44"/>
        </w:rPr>
      </w:pPr>
      <w:r>
        <w:rPr>
          <w:rFonts w:hint="eastAsia" w:eastAsia="方正小标宋_GBK"/>
          <w:sz w:val="44"/>
          <w:szCs w:val="44"/>
        </w:rPr>
        <w:t>关于印发《2026年重庆市老旧营运货车</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方正小标宋_GBK"/>
          <w:sz w:val="44"/>
          <w:szCs w:val="44"/>
        </w:rPr>
      </w:pPr>
      <w:r>
        <w:rPr>
          <w:rFonts w:hint="eastAsia" w:eastAsia="方正小标宋_GBK"/>
          <w:sz w:val="44"/>
          <w:szCs w:val="44"/>
        </w:rPr>
        <w:t>报废更新工作实施细则》的通知</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方正小标宋_GBK"/>
          <w:sz w:val="44"/>
          <w:szCs w:val="44"/>
        </w:rPr>
      </w:pPr>
      <w:r>
        <w:rPr>
          <w:rFonts w:hint="eastAsia" w:eastAsia="方正仿宋_GBK"/>
          <w:kern w:val="0"/>
          <w:sz w:val="32"/>
        </w:rPr>
        <w:t>渝交规〔2026〕2号</w:t>
      </w:r>
    </w:p>
    <w:p>
      <w:pPr>
        <w:adjustRightInd w:val="0"/>
        <w:snapToGrid w:val="0"/>
        <w:spacing w:line="594" w:lineRule="exact"/>
        <w:rPr>
          <w:rFonts w:hint="eastAsia" w:eastAsia="方正仿宋_GBK"/>
          <w:bCs/>
          <w:kern w:val="0"/>
          <w:sz w:val="32"/>
          <w:szCs w:val="32"/>
        </w:rPr>
      </w:pPr>
    </w:p>
    <w:p>
      <w:pPr>
        <w:adjustRightInd w:val="0"/>
        <w:snapToGrid w:val="0"/>
        <w:spacing w:line="594" w:lineRule="exact"/>
        <w:rPr>
          <w:rFonts w:hint="eastAsia" w:eastAsia="方正仿宋_GBK"/>
          <w:kern w:val="0"/>
          <w:sz w:val="32"/>
          <w:szCs w:val="32"/>
        </w:rPr>
      </w:pPr>
      <w:r>
        <w:rPr>
          <w:rFonts w:hint="eastAsia" w:eastAsia="方正仿宋_GBK"/>
          <w:kern w:val="0"/>
          <w:sz w:val="32"/>
          <w:szCs w:val="32"/>
        </w:rPr>
        <w:t>各区县（自治县），西部科学城重庆高新区、万盛经开区交通运输、发展</w:t>
      </w:r>
      <w:r>
        <w:rPr>
          <w:rFonts w:eastAsia="方正仿宋_GBK"/>
          <w:kern w:val="0"/>
          <w:sz w:val="32"/>
          <w:szCs w:val="32"/>
        </w:rPr>
        <w:t>改革、</w:t>
      </w:r>
      <w:r>
        <w:rPr>
          <w:rFonts w:hint="eastAsia" w:eastAsia="方正仿宋_GBK"/>
          <w:kern w:val="0"/>
          <w:sz w:val="32"/>
          <w:szCs w:val="32"/>
        </w:rPr>
        <w:t>公安、商务主管部门：</w:t>
      </w:r>
    </w:p>
    <w:p>
      <w:pPr>
        <w:pStyle w:val="6"/>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eastAsia="方正仿宋_GBK"/>
          <w:kern w:val="0"/>
          <w:sz w:val="32"/>
          <w:szCs w:val="32"/>
        </w:rPr>
      </w:pPr>
      <w:r>
        <w:rPr>
          <w:rFonts w:hint="eastAsia" w:eastAsia="方正仿宋_GBK"/>
          <w:kern w:val="0"/>
          <w:sz w:val="32"/>
          <w:szCs w:val="32"/>
        </w:rPr>
        <w:t>按照市政府工作部署，现将《2026年重庆市老旧营运货车报废更新工作实施细则》印发你们，请认真贯彻执行。</w:t>
      </w:r>
    </w:p>
    <w:p>
      <w:pPr>
        <w:spacing w:line="594" w:lineRule="exact"/>
        <w:rPr>
          <w:rFonts w:hint="eastAsia" w:eastAsia="方正仿宋_GBK" w:cs="方正仿宋_GBK"/>
          <w:kern w:val="0"/>
          <w:sz w:val="32"/>
          <w:szCs w:val="32"/>
        </w:rPr>
      </w:pPr>
    </w:p>
    <w:p>
      <w:pPr>
        <w:spacing w:line="594" w:lineRule="exact"/>
        <w:jc w:val="right"/>
        <w:rPr>
          <w:rFonts w:eastAsia="方正仿宋_GBK" w:cs="方正仿宋_GBK"/>
          <w:kern w:val="0"/>
          <w:sz w:val="32"/>
          <w:szCs w:val="32"/>
        </w:rPr>
      </w:pPr>
      <w:r>
        <w:rPr>
          <w:rFonts w:hint="eastAsia" w:eastAsia="方正仿宋_GBK" w:cs="方正仿宋_GBK"/>
          <w:kern w:val="0"/>
          <w:sz w:val="32"/>
          <w:szCs w:val="32"/>
        </w:rPr>
        <w:t>重庆市交通运输委员会</w:t>
      </w:r>
      <w:r>
        <w:rPr>
          <w:rFonts w:hint="eastAsia" w:eastAsia="方正仿宋_GBK" w:cs="方正仿宋_GBK"/>
          <w:kern w:val="0"/>
          <w:sz w:val="32"/>
          <w:szCs w:val="32"/>
          <w:lang w:val="en-US" w:eastAsia="zh-CN"/>
        </w:rPr>
        <w:t xml:space="preserve">  </w:t>
      </w:r>
      <w:r>
        <w:rPr>
          <w:rFonts w:hint="eastAsia" w:eastAsia="方正仿宋_GBK" w:cs="方正仿宋_GBK"/>
          <w:kern w:val="0"/>
          <w:sz w:val="32"/>
          <w:szCs w:val="32"/>
        </w:rPr>
        <w:t>重庆市发展</w:t>
      </w:r>
      <w:r>
        <w:rPr>
          <w:rFonts w:eastAsia="方正仿宋_GBK" w:cs="方正仿宋_GBK"/>
          <w:kern w:val="0"/>
          <w:sz w:val="32"/>
          <w:szCs w:val="32"/>
        </w:rPr>
        <w:t>和改革委员会</w:t>
      </w:r>
    </w:p>
    <w:p>
      <w:pPr>
        <w:wordWrap w:val="0"/>
        <w:spacing w:line="594" w:lineRule="exact"/>
        <w:jc w:val="right"/>
        <w:rPr>
          <w:rFonts w:hint="default" w:eastAsia="方正仿宋_GBK" w:cs="方正仿宋_GBK"/>
          <w:kern w:val="0"/>
          <w:sz w:val="32"/>
          <w:szCs w:val="32"/>
          <w:lang w:val="en-US" w:eastAsia="zh-CN"/>
        </w:rPr>
      </w:pPr>
      <w:r>
        <w:rPr>
          <w:rFonts w:hint="eastAsia" w:eastAsia="方正仿宋_GBK" w:cs="方正仿宋_GBK"/>
          <w:kern w:val="0"/>
          <w:sz w:val="32"/>
          <w:szCs w:val="32"/>
        </w:rPr>
        <w:t>重庆市公安</w:t>
      </w:r>
      <w:r>
        <w:rPr>
          <w:rFonts w:eastAsia="方正仿宋_GBK" w:cs="方正仿宋_GBK"/>
          <w:kern w:val="0"/>
          <w:sz w:val="32"/>
          <w:szCs w:val="32"/>
        </w:rPr>
        <w:t>局</w:t>
      </w:r>
      <w:r>
        <w:rPr>
          <w:rFonts w:hint="eastAsia" w:eastAsia="方正仿宋_GBK" w:cs="方正仿宋_GBK"/>
          <w:kern w:val="0"/>
          <w:sz w:val="32"/>
          <w:szCs w:val="32"/>
          <w:lang w:val="en-US" w:eastAsia="zh-CN"/>
        </w:rPr>
        <w:t xml:space="preserve">  </w:t>
      </w:r>
      <w:r>
        <w:rPr>
          <w:rFonts w:hint="eastAsia" w:eastAsia="方正仿宋_GBK" w:cs="方正仿宋_GBK"/>
          <w:kern w:val="0"/>
          <w:sz w:val="32"/>
          <w:szCs w:val="32"/>
        </w:rPr>
        <w:t>重庆市商务委员会</w:t>
      </w:r>
      <w:r>
        <w:rPr>
          <w:rFonts w:hint="eastAsia" w:eastAsia="方正仿宋_GBK" w:cs="方正仿宋_GBK"/>
          <w:kern w:val="0"/>
          <w:sz w:val="32"/>
          <w:szCs w:val="32"/>
          <w:lang w:val="en-US" w:eastAsia="zh-CN"/>
        </w:rPr>
        <w:t xml:space="preserve">      </w:t>
      </w:r>
    </w:p>
    <w:p>
      <w:pPr>
        <w:wordWrap w:val="0"/>
        <w:spacing w:line="594" w:lineRule="exact"/>
        <w:jc w:val="right"/>
        <w:rPr>
          <w:rFonts w:hint="eastAsia" w:eastAsia="方正仿宋_GBK" w:cs="方正仿宋_GBK"/>
          <w:kern w:val="0"/>
          <w:sz w:val="32"/>
          <w:szCs w:val="32"/>
          <w:lang w:val="en-US" w:eastAsia="zh-CN"/>
        </w:rPr>
      </w:pPr>
      <w:r>
        <w:rPr>
          <w:rFonts w:hint="eastAsia" w:eastAsia="方正仿宋_GBK" w:cs="方正仿宋_GBK"/>
          <w:kern w:val="0"/>
          <w:sz w:val="32"/>
          <w:szCs w:val="32"/>
        </w:rPr>
        <w:t>2026年</w:t>
      </w:r>
      <w:r>
        <w:rPr>
          <w:rFonts w:hint="default" w:eastAsia="方正仿宋_GBK" w:cs="方正仿宋_GBK"/>
          <w:kern w:val="0"/>
          <w:sz w:val="32"/>
          <w:szCs w:val="32"/>
          <w:lang w:val="en"/>
        </w:rPr>
        <w:t>7</w:t>
      </w:r>
      <w:r>
        <w:rPr>
          <w:rFonts w:hint="eastAsia" w:eastAsia="方正仿宋_GBK" w:cs="方正仿宋_GBK"/>
          <w:kern w:val="0"/>
          <w:sz w:val="32"/>
          <w:szCs w:val="32"/>
        </w:rPr>
        <w:t>月</w:t>
      </w:r>
      <w:r>
        <w:rPr>
          <w:rFonts w:hint="default" w:eastAsia="方正仿宋_GBK" w:cs="方正仿宋_GBK"/>
          <w:kern w:val="0"/>
          <w:sz w:val="32"/>
          <w:szCs w:val="32"/>
          <w:lang w:val="en"/>
        </w:rPr>
        <w:t>7</w:t>
      </w:r>
      <w:r>
        <w:rPr>
          <w:rFonts w:hint="eastAsia" w:eastAsia="方正仿宋_GBK" w:cs="方正仿宋_GBK"/>
          <w:kern w:val="0"/>
          <w:sz w:val="32"/>
          <w:szCs w:val="32"/>
        </w:rPr>
        <w:t>日</w:t>
      </w:r>
      <w:r>
        <w:rPr>
          <w:rFonts w:hint="eastAsia" w:eastAsia="方正仿宋_GBK" w:cs="方正仿宋_GBK"/>
          <w:kern w:val="0"/>
          <w:sz w:val="32"/>
          <w:szCs w:val="32"/>
          <w:lang w:val="en-US" w:eastAsia="zh-CN"/>
        </w:rPr>
        <w:t xml:space="preserve">                </w:t>
      </w:r>
    </w:p>
    <w:p>
      <w:pPr>
        <w:rPr>
          <w:rFonts w:hint="eastAsia" w:eastAsia="方正仿宋_GBK" w:cs="方正仿宋_GBK"/>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cs="方正仿宋_GBK"/>
          <w:kern w:val="0"/>
          <w:sz w:val="32"/>
          <w:szCs w:val="32"/>
          <w:lang w:val="en-US" w:eastAsia="zh-CN"/>
        </w:rPr>
      </w:pPr>
      <w:r>
        <w:rPr>
          <w:rFonts w:hint="eastAsia" w:eastAsia="方正仿宋_GBK" w:cs="方正仿宋_GBK"/>
          <w:kern w:val="0"/>
          <w:sz w:val="32"/>
          <w:szCs w:val="32"/>
          <w:lang w:val="en-US" w:eastAsia="zh-CN"/>
        </w:rPr>
        <w:t>（此件公开发布）</w:t>
      </w:r>
      <w:r>
        <w:rPr>
          <w:rFonts w:hint="eastAsia" w:eastAsia="方正仿宋_GBK" w:cs="方正仿宋_GBK"/>
          <w:kern w:val="0"/>
          <w:sz w:val="32"/>
          <w:szCs w:val="32"/>
          <w:lang w:val="en-US" w:eastAsia="zh-CN"/>
        </w:rPr>
        <w:br w:type="page"/>
      </w:r>
    </w:p>
    <w:p>
      <w:pPr>
        <w:spacing w:line="594" w:lineRule="exact"/>
        <w:jc w:val="center"/>
        <w:rPr>
          <w:rFonts w:hint="eastAsia" w:eastAsia="方正小标宋_GBK"/>
          <w:sz w:val="44"/>
          <w:szCs w:val="44"/>
        </w:rPr>
      </w:pPr>
    </w:p>
    <w:p>
      <w:pPr>
        <w:keepNext w:val="0"/>
        <w:keepLines w:val="0"/>
        <w:pageBreakBefore w:val="0"/>
        <w:widowControl w:val="0"/>
        <w:kinsoku/>
        <w:wordWrap/>
        <w:overflowPunct/>
        <w:topLinePunct w:val="0"/>
        <w:autoSpaceDN/>
        <w:bidi w:val="0"/>
        <w:adjustRightInd/>
        <w:snapToGrid/>
        <w:spacing w:line="600" w:lineRule="exact"/>
        <w:jc w:val="center"/>
        <w:textAlignment w:val="auto"/>
        <w:rPr>
          <w:rFonts w:hint="eastAsia" w:eastAsia="方正小标宋_GBK"/>
          <w:sz w:val="44"/>
          <w:szCs w:val="44"/>
        </w:rPr>
      </w:pPr>
      <w:r>
        <w:rPr>
          <w:rFonts w:hint="eastAsia" w:eastAsia="方正小标宋_GBK"/>
          <w:sz w:val="44"/>
          <w:szCs w:val="44"/>
        </w:rPr>
        <w:t>2026年重庆市老旧营运货车报废更新</w:t>
      </w:r>
    </w:p>
    <w:p>
      <w:pPr>
        <w:keepNext w:val="0"/>
        <w:keepLines w:val="0"/>
        <w:pageBreakBefore w:val="0"/>
        <w:widowControl w:val="0"/>
        <w:kinsoku/>
        <w:wordWrap/>
        <w:overflowPunct/>
        <w:topLinePunct w:val="0"/>
        <w:autoSpaceDN/>
        <w:bidi w:val="0"/>
        <w:adjustRightInd/>
        <w:snapToGrid/>
        <w:spacing w:line="600" w:lineRule="exact"/>
        <w:jc w:val="center"/>
        <w:textAlignment w:val="auto"/>
        <w:rPr>
          <w:rFonts w:hint="eastAsia" w:eastAsia="方正小标宋_GBK"/>
          <w:sz w:val="44"/>
          <w:szCs w:val="44"/>
        </w:rPr>
      </w:pPr>
      <w:r>
        <w:rPr>
          <w:rFonts w:hint="eastAsia" w:eastAsia="方正小标宋_GBK"/>
          <w:sz w:val="44"/>
          <w:szCs w:val="44"/>
        </w:rPr>
        <w:t>工作实施细则</w:t>
      </w:r>
    </w:p>
    <w:p>
      <w:pPr>
        <w:keepNext w:val="0"/>
        <w:keepLines w:val="0"/>
        <w:pageBreakBefore w:val="0"/>
        <w:widowControl w:val="0"/>
        <w:kinsoku/>
        <w:wordWrap/>
        <w:overflowPunct/>
        <w:topLinePunct w:val="0"/>
        <w:autoSpaceDN/>
        <w:bidi w:val="0"/>
        <w:adjustRightInd/>
        <w:snapToGrid/>
        <w:spacing w:line="600" w:lineRule="exact"/>
        <w:textAlignment w:val="auto"/>
        <w:rPr>
          <w:rFonts w:hint="eastAsia" w:eastAsia="方正楷体_GBK" w:cs="方正楷体_GBK"/>
          <w:sz w:val="32"/>
          <w:szCs w:val="32"/>
        </w:rPr>
      </w:pPr>
    </w:p>
    <w:p>
      <w:pPr>
        <w:keepNext w:val="0"/>
        <w:keepLines w:val="0"/>
        <w:pageBreakBefore w:val="0"/>
        <w:widowControl w:val="0"/>
        <w:kinsoku/>
        <w:wordWrap/>
        <w:overflowPunct/>
        <w:topLinePunct w:val="0"/>
        <w:autoSpaceDN/>
        <w:bidi w:val="0"/>
        <w:adjustRightInd/>
        <w:snapToGrid/>
        <w:spacing w:line="600" w:lineRule="exact"/>
        <w:ind w:firstLine="640" w:firstLineChars="200"/>
        <w:textAlignment w:val="auto"/>
        <w:rPr>
          <w:rFonts w:eastAsia="方正黑体_GBK"/>
          <w:kern w:val="0"/>
          <w:sz w:val="32"/>
          <w:szCs w:val="32"/>
        </w:rPr>
      </w:pPr>
      <w:r>
        <w:rPr>
          <w:rFonts w:eastAsia="方正黑体_GBK"/>
          <w:kern w:val="0"/>
          <w:sz w:val="32"/>
          <w:szCs w:val="32"/>
        </w:rPr>
        <w:t>一、实施时间</w:t>
      </w:r>
    </w:p>
    <w:p>
      <w:pPr>
        <w:keepNext w:val="0"/>
        <w:keepLines w:val="0"/>
        <w:pageBreakBefore w:val="0"/>
        <w:widowControl w:val="0"/>
        <w:kinsoku/>
        <w:wordWrap/>
        <w:overflowPunct/>
        <w:topLinePunct w:val="0"/>
        <w:autoSpaceDN/>
        <w:bidi w:val="0"/>
        <w:adjustRightInd/>
        <w:snapToGrid/>
        <w:spacing w:line="600" w:lineRule="exact"/>
        <w:ind w:firstLine="640" w:firstLineChars="200"/>
        <w:textAlignment w:val="auto"/>
        <w:rPr>
          <w:rFonts w:hint="eastAsia" w:eastAsia="方正仿宋_GBK"/>
          <w:kern w:val="0"/>
          <w:sz w:val="32"/>
          <w:szCs w:val="32"/>
        </w:rPr>
      </w:pPr>
      <w:r>
        <w:rPr>
          <w:rFonts w:hint="eastAsia" w:eastAsia="方正仿宋_GBK"/>
          <w:kern w:val="0"/>
          <w:sz w:val="32"/>
          <w:szCs w:val="32"/>
        </w:rPr>
        <w:t>老旧营运货车报废更新及新购置新能源城市冷链配送货车补贴时间自2026年1月1日至2026年12月31日（报废货车《报废机动车回收证明》交车日期、《机动车注销证明》上记载的注销日期、新购置货车《机动车行驶证》上记载的注册登记日期和《道路运输证》发放日期均应在政策实施期内）。</w:t>
      </w:r>
    </w:p>
    <w:p>
      <w:pPr>
        <w:keepNext w:val="0"/>
        <w:keepLines w:val="0"/>
        <w:pageBreakBefore w:val="0"/>
        <w:widowControl w:val="0"/>
        <w:kinsoku/>
        <w:wordWrap/>
        <w:overflowPunct/>
        <w:topLinePunct w:val="0"/>
        <w:autoSpaceDN/>
        <w:bidi w:val="0"/>
        <w:adjustRightInd/>
        <w:snapToGrid/>
        <w:spacing w:line="600" w:lineRule="exact"/>
        <w:ind w:firstLine="640" w:firstLineChars="200"/>
        <w:textAlignment w:val="auto"/>
        <w:rPr>
          <w:rFonts w:hint="eastAsia" w:eastAsia="方正黑体_GBK"/>
          <w:kern w:val="0"/>
          <w:sz w:val="32"/>
          <w:szCs w:val="32"/>
        </w:rPr>
      </w:pPr>
      <w:r>
        <w:rPr>
          <w:rFonts w:eastAsia="方正黑体_GBK"/>
          <w:kern w:val="0"/>
          <w:sz w:val="32"/>
          <w:szCs w:val="32"/>
        </w:rPr>
        <w:t>二、实施范围</w:t>
      </w:r>
      <w:r>
        <w:rPr>
          <w:rFonts w:hint="eastAsia" w:eastAsia="方正黑体_GBK"/>
          <w:kern w:val="0"/>
          <w:sz w:val="32"/>
          <w:szCs w:val="32"/>
        </w:rPr>
        <w:t>及资金使用</w:t>
      </w:r>
    </w:p>
    <w:p>
      <w:pPr>
        <w:keepNext w:val="0"/>
        <w:keepLines w:val="0"/>
        <w:pageBreakBefore w:val="0"/>
        <w:widowControl w:val="0"/>
        <w:kinsoku/>
        <w:wordWrap/>
        <w:overflowPunct/>
        <w:topLinePunct w:val="0"/>
        <w:autoSpaceDN/>
        <w:bidi w:val="0"/>
        <w:adjustRightInd/>
        <w:snapToGrid/>
        <w:spacing w:line="600" w:lineRule="exact"/>
        <w:ind w:firstLine="640" w:firstLineChars="200"/>
        <w:textAlignment w:val="auto"/>
        <w:rPr>
          <w:rFonts w:hint="eastAsia" w:eastAsia="方正仿宋_GBK"/>
          <w:kern w:val="0"/>
          <w:sz w:val="32"/>
          <w:szCs w:val="32"/>
        </w:rPr>
      </w:pPr>
      <w:r>
        <w:rPr>
          <w:rFonts w:hint="eastAsia" w:eastAsia="方正楷体_GBK" w:cs="方正楷体_GBK"/>
          <w:kern w:val="0"/>
          <w:sz w:val="32"/>
          <w:szCs w:val="32"/>
        </w:rPr>
        <w:t>（一）实施范围。</w:t>
      </w:r>
      <w:r>
        <w:rPr>
          <w:rFonts w:hint="eastAsia" w:eastAsia="方正仿宋_GBK"/>
          <w:kern w:val="0"/>
          <w:sz w:val="32"/>
          <w:szCs w:val="32"/>
        </w:rPr>
        <w:t>包括四种情形：报废国四及以下排放标准营运货车</w:t>
      </w:r>
      <w:r>
        <w:rPr>
          <w:rFonts w:hint="eastAsia" w:eastAsia="方正仿宋_GBK" w:cs="方正仿宋_GBK"/>
          <w:kern w:val="0"/>
          <w:sz w:val="32"/>
          <w:szCs w:val="32"/>
        </w:rPr>
        <w:t>（包含柴油、天然气货车</w:t>
      </w:r>
      <w:r>
        <w:rPr>
          <w:rFonts w:hint="eastAsia" w:eastAsia="方正仿宋_GBK" w:cs="方正仿宋_GBK"/>
          <w:kern w:val="0"/>
          <w:sz w:val="32"/>
          <w:szCs w:val="32"/>
          <w:lang w:eastAsia="zh"/>
        </w:rPr>
        <w:t>，以下同</w:t>
      </w:r>
      <w:r>
        <w:rPr>
          <w:rFonts w:hint="eastAsia" w:eastAsia="方正仿宋_GBK" w:cs="方正仿宋_GBK"/>
          <w:kern w:val="0"/>
          <w:sz w:val="32"/>
          <w:szCs w:val="32"/>
        </w:rPr>
        <w:t>）</w:t>
      </w:r>
      <w:r>
        <w:rPr>
          <w:rFonts w:hint="eastAsia" w:eastAsia="方正仿宋_GBK" w:cs="方正楷体_GBK"/>
          <w:kern w:val="0"/>
          <w:sz w:val="32"/>
          <w:szCs w:val="32"/>
        </w:rPr>
        <w:t>、</w:t>
      </w:r>
      <w:r>
        <w:rPr>
          <w:rFonts w:hint="eastAsia" w:eastAsia="方正仿宋_GBK"/>
          <w:kern w:val="0"/>
          <w:sz w:val="32"/>
          <w:szCs w:val="32"/>
        </w:rPr>
        <w:t>报废国四及以下排放标准营运货车并新购新能源（包括电动和非电动）营运货车、报废国四及以下排放标准营运货车并新购国六排放标准营运货车、仅新购符合要求的新能源城市冷链配送货车。按照不同类型，分档次予以定额补贴。已获得中央其他资金渠道支持的车辆，不纳入本次补贴资金支持范围。</w:t>
      </w:r>
    </w:p>
    <w:p>
      <w:pPr>
        <w:keepNext w:val="0"/>
        <w:keepLines w:val="0"/>
        <w:pageBreakBefore w:val="0"/>
        <w:widowControl w:val="0"/>
        <w:kinsoku/>
        <w:wordWrap/>
        <w:overflowPunct/>
        <w:topLinePunct w:val="0"/>
        <w:autoSpaceDN/>
        <w:bidi w:val="0"/>
        <w:adjustRightInd/>
        <w:snapToGrid/>
        <w:spacing w:line="600" w:lineRule="exact"/>
        <w:ind w:firstLine="640" w:firstLineChars="200"/>
        <w:textAlignment w:val="auto"/>
        <w:rPr>
          <w:rFonts w:hint="eastAsia" w:eastAsia="方正仿宋_GBK" w:cs="方正仿宋_GBK"/>
          <w:kern w:val="0"/>
          <w:sz w:val="32"/>
          <w:szCs w:val="32"/>
        </w:rPr>
      </w:pPr>
      <w:r>
        <w:rPr>
          <w:rFonts w:hint="eastAsia" w:eastAsia="方正楷体_GBK" w:cs="方正楷体_GBK"/>
          <w:kern w:val="0"/>
          <w:sz w:val="32"/>
          <w:szCs w:val="32"/>
        </w:rPr>
        <w:t>（二）资金使用。</w:t>
      </w:r>
      <w:r>
        <w:rPr>
          <w:rFonts w:hint="eastAsia" w:eastAsia="方正仿宋_GBK"/>
          <w:kern w:val="0"/>
          <w:sz w:val="32"/>
          <w:szCs w:val="32"/>
        </w:rPr>
        <w:t>2026年度报废补贴资金来源为超长期特别国债资金，以国家发展改革部门下达的资金额度为准，按照“总额控制、用完即止”的原则，在中央下达的资金额度内使用，</w:t>
      </w:r>
      <w:r>
        <w:rPr>
          <w:rFonts w:hint="eastAsia" w:eastAsia="方正仿宋_GBK" w:cs="方正仿宋_GBK"/>
          <w:kern w:val="0"/>
          <w:sz w:val="32"/>
          <w:szCs w:val="32"/>
        </w:rPr>
        <w:t>按全年月份均衡设置当月的使用资金限额。</w:t>
      </w:r>
    </w:p>
    <w:p>
      <w:pPr>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eastAsia="方正黑体_GBK"/>
          <w:kern w:val="0"/>
          <w:sz w:val="32"/>
          <w:szCs w:val="32"/>
        </w:rPr>
      </w:pPr>
      <w:r>
        <w:rPr>
          <w:rFonts w:hint="eastAsia" w:eastAsia="方正黑体_GBK"/>
          <w:kern w:val="0"/>
          <w:sz w:val="32"/>
          <w:szCs w:val="32"/>
        </w:rPr>
        <w:t>三</w:t>
      </w:r>
      <w:r>
        <w:rPr>
          <w:rFonts w:eastAsia="方正黑体_GBK"/>
          <w:kern w:val="0"/>
          <w:sz w:val="32"/>
          <w:szCs w:val="32"/>
        </w:rPr>
        <w:t>、补贴标准</w:t>
      </w:r>
    </w:p>
    <w:p>
      <w:pPr>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eastAsia="方正仿宋_GBK"/>
          <w:kern w:val="0"/>
          <w:sz w:val="32"/>
          <w:szCs w:val="32"/>
        </w:rPr>
      </w:pPr>
      <w:r>
        <w:rPr>
          <w:rFonts w:eastAsia="方正仿宋_GBK"/>
          <w:kern w:val="0"/>
          <w:sz w:val="32"/>
          <w:szCs w:val="32"/>
        </w:rPr>
        <w:t>老旧营运货车报废更新按照报废车辆类型、提前报废时间和新购置车辆动力类型等，实施差别化资金标准</w:t>
      </w:r>
      <w:r>
        <w:rPr>
          <w:rFonts w:hint="eastAsia" w:eastAsia="方正仿宋_GBK"/>
          <w:kern w:val="0"/>
          <w:sz w:val="32"/>
          <w:szCs w:val="32"/>
        </w:rPr>
        <w:t>。</w:t>
      </w:r>
    </w:p>
    <w:p>
      <w:pPr>
        <w:keepNext w:val="0"/>
        <w:keepLines w:val="0"/>
        <w:pageBreakBefore w:val="0"/>
        <w:widowControl w:val="0"/>
        <w:kinsoku/>
        <w:wordWrap/>
        <w:overflowPunct/>
        <w:topLinePunct w:val="0"/>
        <w:autoSpaceDE w:val="0"/>
        <w:autoSpaceDN/>
        <w:bidi w:val="0"/>
        <w:adjustRightInd/>
        <w:snapToGrid/>
        <w:spacing w:line="600" w:lineRule="exact"/>
        <w:ind w:firstLine="640" w:firstLineChars="200"/>
        <w:jc w:val="left"/>
        <w:textAlignment w:val="auto"/>
        <w:rPr>
          <w:rFonts w:eastAsia="方正楷体_GBK"/>
          <w:kern w:val="0"/>
          <w:sz w:val="32"/>
          <w:szCs w:val="32"/>
        </w:rPr>
      </w:pPr>
      <w:r>
        <w:rPr>
          <w:rFonts w:eastAsia="方正楷体_GBK"/>
          <w:kern w:val="0"/>
          <w:sz w:val="32"/>
          <w:szCs w:val="32"/>
          <w:lang w:bidi="ar"/>
        </w:rPr>
        <w:t>（一）报废老旧营运货车补贴标准</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0"/>
        <w:gridCol w:w="4019"/>
        <w:gridCol w:w="33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700" w:type="dxa"/>
            <w:vAlign w:val="center"/>
          </w:tcPr>
          <w:p>
            <w:pPr>
              <w:autoSpaceDE w:val="0"/>
              <w:spacing w:line="594" w:lineRule="exact"/>
              <w:jc w:val="center"/>
              <w:rPr>
                <w:rFonts w:eastAsia="方正黑体_GBK"/>
                <w:kern w:val="0"/>
                <w:sz w:val="28"/>
                <w:szCs w:val="28"/>
              </w:rPr>
            </w:pPr>
            <w:r>
              <w:rPr>
                <w:rFonts w:eastAsia="方正黑体_GBK"/>
                <w:kern w:val="0"/>
                <w:sz w:val="28"/>
                <w:szCs w:val="28"/>
                <w:lang w:bidi="ar"/>
              </w:rPr>
              <w:t>车辆类型</w:t>
            </w:r>
          </w:p>
        </w:tc>
        <w:tc>
          <w:tcPr>
            <w:tcW w:w="4019" w:type="dxa"/>
            <w:vAlign w:val="center"/>
          </w:tcPr>
          <w:p>
            <w:pPr>
              <w:autoSpaceDE w:val="0"/>
              <w:spacing w:line="594" w:lineRule="exact"/>
              <w:jc w:val="center"/>
              <w:rPr>
                <w:rFonts w:eastAsia="方正黑体_GBK"/>
                <w:kern w:val="0"/>
                <w:sz w:val="28"/>
                <w:szCs w:val="28"/>
              </w:rPr>
            </w:pPr>
            <w:r>
              <w:rPr>
                <w:rFonts w:hint="eastAsia" w:eastAsia="方正黑体_GBK"/>
                <w:kern w:val="0"/>
                <w:sz w:val="28"/>
                <w:szCs w:val="28"/>
                <w:lang w:bidi="ar"/>
              </w:rPr>
              <w:t>距离强制报废时间</w:t>
            </w:r>
          </w:p>
        </w:tc>
        <w:tc>
          <w:tcPr>
            <w:tcW w:w="3341" w:type="dxa"/>
            <w:vAlign w:val="center"/>
          </w:tcPr>
          <w:p>
            <w:pPr>
              <w:autoSpaceDE w:val="0"/>
              <w:spacing w:line="594" w:lineRule="exact"/>
              <w:jc w:val="center"/>
              <w:rPr>
                <w:rFonts w:eastAsia="方正黑体_GBK"/>
                <w:kern w:val="0"/>
                <w:sz w:val="28"/>
                <w:szCs w:val="28"/>
              </w:rPr>
            </w:pPr>
            <w:r>
              <w:rPr>
                <w:rFonts w:eastAsia="方正黑体_GBK"/>
                <w:kern w:val="0"/>
                <w:sz w:val="28"/>
                <w:szCs w:val="28"/>
                <w:lang w:bidi="ar"/>
              </w:rPr>
              <w:t>补贴标准（万元/辆）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0" w:type="dxa"/>
            <w:vMerge w:val="restart"/>
            <w:tcBorders>
              <w:top w:val="nil"/>
            </w:tcBorders>
            <w:vAlign w:val="center"/>
          </w:tcPr>
          <w:p>
            <w:pPr>
              <w:spacing w:line="594" w:lineRule="exact"/>
              <w:jc w:val="center"/>
              <w:rPr>
                <w:rFonts w:eastAsia="方正仿宋_GBK"/>
                <w:kern w:val="0"/>
                <w:sz w:val="28"/>
                <w:szCs w:val="28"/>
              </w:rPr>
            </w:pPr>
            <w:r>
              <w:rPr>
                <w:rFonts w:eastAsia="方正仿宋_GBK"/>
                <w:kern w:val="0"/>
                <w:sz w:val="28"/>
                <w:szCs w:val="28"/>
                <w:lang w:bidi="ar"/>
              </w:rPr>
              <w:t>中型</w:t>
            </w:r>
          </w:p>
        </w:tc>
        <w:tc>
          <w:tcPr>
            <w:tcW w:w="4019" w:type="dxa"/>
            <w:vAlign w:val="center"/>
          </w:tcPr>
          <w:p>
            <w:pPr>
              <w:autoSpaceDE w:val="0"/>
              <w:spacing w:line="594" w:lineRule="exact"/>
              <w:jc w:val="center"/>
              <w:rPr>
                <w:rFonts w:eastAsia="方正仿宋_GBK"/>
                <w:kern w:val="0"/>
                <w:sz w:val="28"/>
                <w:szCs w:val="28"/>
              </w:rPr>
            </w:pPr>
            <w:r>
              <w:rPr>
                <w:rFonts w:eastAsia="方正仿宋_GBK"/>
                <w:kern w:val="0"/>
                <w:sz w:val="28"/>
                <w:szCs w:val="28"/>
                <w:lang w:bidi="ar"/>
              </w:rPr>
              <w:t>满1年（含）不足2年</w:t>
            </w:r>
          </w:p>
        </w:tc>
        <w:tc>
          <w:tcPr>
            <w:tcW w:w="3341" w:type="dxa"/>
            <w:vAlign w:val="center"/>
          </w:tcPr>
          <w:p>
            <w:pPr>
              <w:autoSpaceDE w:val="0"/>
              <w:spacing w:line="594" w:lineRule="exact"/>
              <w:jc w:val="center"/>
              <w:rPr>
                <w:rFonts w:eastAsia="方正仿宋_GBK"/>
                <w:kern w:val="0"/>
                <w:sz w:val="28"/>
                <w:szCs w:val="28"/>
              </w:rPr>
            </w:pPr>
            <w:r>
              <w:rPr>
                <w:rFonts w:eastAsia="方正仿宋_GBK"/>
                <w:kern w:val="0"/>
                <w:sz w:val="28"/>
                <w:szCs w:val="28"/>
                <w:lang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0" w:type="dxa"/>
            <w:vMerge w:val="continue"/>
            <w:tcBorders>
              <w:top w:val="nil"/>
            </w:tcBorders>
            <w:vAlign w:val="center"/>
          </w:tcPr>
          <w:p>
            <w:pPr>
              <w:spacing w:line="594" w:lineRule="exact"/>
              <w:jc w:val="center"/>
              <w:rPr>
                <w:rFonts w:eastAsia="方正仿宋_GBK"/>
                <w:kern w:val="0"/>
                <w:sz w:val="28"/>
                <w:szCs w:val="28"/>
              </w:rPr>
            </w:pPr>
          </w:p>
        </w:tc>
        <w:tc>
          <w:tcPr>
            <w:tcW w:w="4019" w:type="dxa"/>
            <w:vAlign w:val="center"/>
          </w:tcPr>
          <w:p>
            <w:pPr>
              <w:autoSpaceDE w:val="0"/>
              <w:spacing w:line="594" w:lineRule="exact"/>
              <w:jc w:val="center"/>
              <w:rPr>
                <w:rFonts w:eastAsia="方正仿宋_GBK"/>
                <w:kern w:val="0"/>
                <w:sz w:val="28"/>
                <w:szCs w:val="28"/>
              </w:rPr>
            </w:pPr>
            <w:r>
              <w:rPr>
                <w:rFonts w:eastAsia="方正仿宋_GBK"/>
                <w:kern w:val="0"/>
                <w:sz w:val="28"/>
                <w:szCs w:val="28"/>
                <w:lang w:bidi="ar"/>
              </w:rPr>
              <w:t>满2年（含）不足4年</w:t>
            </w:r>
          </w:p>
        </w:tc>
        <w:tc>
          <w:tcPr>
            <w:tcW w:w="3341" w:type="dxa"/>
            <w:vAlign w:val="center"/>
          </w:tcPr>
          <w:p>
            <w:pPr>
              <w:autoSpaceDE w:val="0"/>
              <w:spacing w:line="594" w:lineRule="exact"/>
              <w:jc w:val="center"/>
              <w:rPr>
                <w:rFonts w:eastAsia="方正仿宋_GBK"/>
                <w:kern w:val="0"/>
                <w:sz w:val="28"/>
                <w:szCs w:val="28"/>
              </w:rPr>
            </w:pPr>
            <w:r>
              <w:rPr>
                <w:rFonts w:eastAsia="方正仿宋_GBK"/>
                <w:kern w:val="0"/>
                <w:sz w:val="28"/>
                <w:szCs w:val="28"/>
                <w:lang w:bidi="ar"/>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0" w:type="dxa"/>
            <w:vMerge w:val="continue"/>
            <w:tcBorders>
              <w:top w:val="nil"/>
            </w:tcBorders>
            <w:vAlign w:val="center"/>
          </w:tcPr>
          <w:p>
            <w:pPr>
              <w:spacing w:line="594" w:lineRule="exact"/>
              <w:jc w:val="center"/>
              <w:rPr>
                <w:rFonts w:eastAsia="方正仿宋_GBK"/>
                <w:kern w:val="0"/>
                <w:sz w:val="28"/>
                <w:szCs w:val="28"/>
              </w:rPr>
            </w:pPr>
          </w:p>
        </w:tc>
        <w:tc>
          <w:tcPr>
            <w:tcW w:w="4019" w:type="dxa"/>
            <w:vAlign w:val="center"/>
          </w:tcPr>
          <w:p>
            <w:pPr>
              <w:autoSpaceDE w:val="0"/>
              <w:spacing w:line="594" w:lineRule="exact"/>
              <w:jc w:val="center"/>
              <w:rPr>
                <w:rFonts w:eastAsia="方正仿宋_GBK"/>
                <w:kern w:val="0"/>
                <w:sz w:val="28"/>
                <w:szCs w:val="28"/>
              </w:rPr>
            </w:pPr>
            <w:r>
              <w:rPr>
                <w:rFonts w:eastAsia="方正仿宋_GBK"/>
                <w:kern w:val="0"/>
                <w:sz w:val="28"/>
                <w:szCs w:val="28"/>
                <w:lang w:bidi="ar"/>
              </w:rPr>
              <w:t>满4年（含）以上</w:t>
            </w:r>
          </w:p>
        </w:tc>
        <w:tc>
          <w:tcPr>
            <w:tcW w:w="3341" w:type="dxa"/>
            <w:vAlign w:val="center"/>
          </w:tcPr>
          <w:p>
            <w:pPr>
              <w:autoSpaceDE w:val="0"/>
              <w:spacing w:line="594" w:lineRule="exact"/>
              <w:jc w:val="center"/>
              <w:rPr>
                <w:rFonts w:eastAsia="方正仿宋_GBK"/>
                <w:kern w:val="0"/>
                <w:sz w:val="28"/>
                <w:szCs w:val="28"/>
              </w:rPr>
            </w:pPr>
            <w:r>
              <w:rPr>
                <w:rFonts w:eastAsia="方正仿宋_GBK"/>
                <w:kern w:val="0"/>
                <w:sz w:val="28"/>
                <w:szCs w:val="28"/>
                <w:lang w:bidi="ar"/>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700" w:type="dxa"/>
            <w:vMerge w:val="restart"/>
            <w:tcBorders>
              <w:top w:val="nil"/>
            </w:tcBorders>
            <w:vAlign w:val="center"/>
          </w:tcPr>
          <w:p>
            <w:pPr>
              <w:autoSpaceDE w:val="0"/>
              <w:spacing w:line="594" w:lineRule="exact"/>
              <w:jc w:val="center"/>
              <w:rPr>
                <w:rFonts w:eastAsia="方正仿宋_GBK"/>
                <w:kern w:val="0"/>
                <w:sz w:val="28"/>
                <w:szCs w:val="28"/>
              </w:rPr>
            </w:pPr>
            <w:r>
              <w:rPr>
                <w:rFonts w:eastAsia="方正仿宋_GBK"/>
                <w:kern w:val="0"/>
                <w:sz w:val="28"/>
                <w:szCs w:val="28"/>
                <w:lang w:bidi="ar"/>
              </w:rPr>
              <w:t>重型</w:t>
            </w:r>
          </w:p>
        </w:tc>
        <w:tc>
          <w:tcPr>
            <w:tcW w:w="4019" w:type="dxa"/>
            <w:vAlign w:val="center"/>
          </w:tcPr>
          <w:p>
            <w:pPr>
              <w:autoSpaceDE w:val="0"/>
              <w:spacing w:line="594" w:lineRule="exact"/>
              <w:jc w:val="center"/>
              <w:rPr>
                <w:rFonts w:eastAsia="方正仿宋_GBK"/>
                <w:kern w:val="0"/>
                <w:sz w:val="28"/>
                <w:szCs w:val="28"/>
              </w:rPr>
            </w:pPr>
            <w:r>
              <w:rPr>
                <w:rFonts w:eastAsia="方正仿宋_GBK"/>
                <w:kern w:val="0"/>
                <w:sz w:val="28"/>
                <w:szCs w:val="28"/>
                <w:lang w:bidi="ar"/>
              </w:rPr>
              <w:t>满1年（含）不足2年</w:t>
            </w:r>
          </w:p>
        </w:tc>
        <w:tc>
          <w:tcPr>
            <w:tcW w:w="3341" w:type="dxa"/>
            <w:vAlign w:val="center"/>
          </w:tcPr>
          <w:p>
            <w:pPr>
              <w:autoSpaceDE w:val="0"/>
              <w:spacing w:line="594" w:lineRule="exact"/>
              <w:jc w:val="center"/>
              <w:rPr>
                <w:rFonts w:eastAsia="方正仿宋_GBK"/>
                <w:kern w:val="0"/>
                <w:sz w:val="28"/>
                <w:szCs w:val="28"/>
              </w:rPr>
            </w:pPr>
            <w:r>
              <w:rPr>
                <w:rFonts w:eastAsia="方正仿宋_GBK"/>
                <w:kern w:val="0"/>
                <w:sz w:val="28"/>
                <w:szCs w:val="28"/>
                <w:lang w:bidi="ar"/>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700" w:type="dxa"/>
            <w:vMerge w:val="continue"/>
            <w:tcBorders>
              <w:top w:val="nil"/>
            </w:tcBorders>
            <w:vAlign w:val="center"/>
          </w:tcPr>
          <w:p>
            <w:pPr>
              <w:spacing w:line="594" w:lineRule="exact"/>
              <w:jc w:val="center"/>
              <w:rPr>
                <w:rFonts w:eastAsia="方正仿宋_GBK"/>
                <w:kern w:val="0"/>
                <w:sz w:val="28"/>
                <w:szCs w:val="28"/>
              </w:rPr>
            </w:pPr>
          </w:p>
        </w:tc>
        <w:tc>
          <w:tcPr>
            <w:tcW w:w="4019" w:type="dxa"/>
            <w:vAlign w:val="center"/>
          </w:tcPr>
          <w:p>
            <w:pPr>
              <w:autoSpaceDE w:val="0"/>
              <w:spacing w:line="594" w:lineRule="exact"/>
              <w:jc w:val="center"/>
              <w:rPr>
                <w:rFonts w:eastAsia="方正仿宋_GBK"/>
                <w:kern w:val="0"/>
                <w:sz w:val="28"/>
                <w:szCs w:val="28"/>
              </w:rPr>
            </w:pPr>
            <w:r>
              <w:rPr>
                <w:rFonts w:eastAsia="方正仿宋_GBK"/>
                <w:kern w:val="0"/>
                <w:sz w:val="28"/>
                <w:szCs w:val="28"/>
                <w:lang w:bidi="ar"/>
              </w:rPr>
              <w:t>满2年（含）不足4年</w:t>
            </w:r>
          </w:p>
        </w:tc>
        <w:tc>
          <w:tcPr>
            <w:tcW w:w="3341" w:type="dxa"/>
            <w:vAlign w:val="center"/>
          </w:tcPr>
          <w:p>
            <w:pPr>
              <w:autoSpaceDE w:val="0"/>
              <w:spacing w:line="594" w:lineRule="exact"/>
              <w:jc w:val="center"/>
              <w:rPr>
                <w:rFonts w:eastAsia="方正仿宋_GBK"/>
                <w:kern w:val="0"/>
                <w:sz w:val="28"/>
                <w:szCs w:val="28"/>
              </w:rPr>
            </w:pPr>
            <w:r>
              <w:rPr>
                <w:rFonts w:eastAsia="方正仿宋_GBK"/>
                <w:kern w:val="0"/>
                <w:sz w:val="28"/>
                <w:szCs w:val="28"/>
                <w:lang w:bidi="ar"/>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700" w:type="dxa"/>
            <w:vMerge w:val="continue"/>
            <w:tcBorders>
              <w:top w:val="nil"/>
            </w:tcBorders>
            <w:vAlign w:val="center"/>
          </w:tcPr>
          <w:p>
            <w:pPr>
              <w:spacing w:line="594" w:lineRule="exact"/>
              <w:jc w:val="center"/>
              <w:rPr>
                <w:rFonts w:eastAsia="方正仿宋_GBK"/>
                <w:kern w:val="0"/>
                <w:sz w:val="28"/>
                <w:szCs w:val="28"/>
              </w:rPr>
            </w:pPr>
          </w:p>
        </w:tc>
        <w:tc>
          <w:tcPr>
            <w:tcW w:w="4019" w:type="dxa"/>
            <w:vAlign w:val="center"/>
          </w:tcPr>
          <w:p>
            <w:pPr>
              <w:autoSpaceDE w:val="0"/>
              <w:spacing w:line="594" w:lineRule="exact"/>
              <w:jc w:val="center"/>
              <w:rPr>
                <w:rFonts w:eastAsia="方正仿宋_GBK"/>
                <w:kern w:val="0"/>
                <w:sz w:val="28"/>
                <w:szCs w:val="28"/>
              </w:rPr>
            </w:pPr>
            <w:r>
              <w:rPr>
                <w:rFonts w:eastAsia="方正仿宋_GBK"/>
                <w:kern w:val="0"/>
                <w:sz w:val="28"/>
                <w:szCs w:val="28"/>
                <w:lang w:bidi="ar"/>
              </w:rPr>
              <w:t>满4年（含）以上</w:t>
            </w:r>
          </w:p>
        </w:tc>
        <w:tc>
          <w:tcPr>
            <w:tcW w:w="3341" w:type="dxa"/>
            <w:vAlign w:val="center"/>
          </w:tcPr>
          <w:p>
            <w:pPr>
              <w:autoSpaceDE w:val="0"/>
              <w:spacing w:line="594" w:lineRule="exact"/>
              <w:jc w:val="center"/>
              <w:rPr>
                <w:rFonts w:eastAsia="方正仿宋_GBK"/>
                <w:kern w:val="0"/>
                <w:sz w:val="28"/>
                <w:szCs w:val="28"/>
              </w:rPr>
            </w:pPr>
            <w:r>
              <w:rPr>
                <w:rFonts w:eastAsia="方正仿宋_GBK"/>
                <w:kern w:val="0"/>
                <w:sz w:val="28"/>
                <w:szCs w:val="28"/>
                <w:lang w:bidi="ar"/>
              </w:rPr>
              <w:t>4.5</w:t>
            </w:r>
          </w:p>
        </w:tc>
      </w:tr>
    </w:tbl>
    <w:p>
      <w:pPr>
        <w:keepNext w:val="0"/>
        <w:keepLines w:val="0"/>
        <w:pageBreakBefore w:val="0"/>
        <w:widowControl w:val="0"/>
        <w:kinsoku/>
        <w:wordWrap/>
        <w:overflowPunct/>
        <w:topLinePunct w:val="0"/>
        <w:autoSpaceDE w:val="0"/>
        <w:autoSpaceDN/>
        <w:bidi w:val="0"/>
        <w:adjustRightInd/>
        <w:snapToGrid/>
        <w:spacing w:line="600" w:lineRule="exact"/>
        <w:ind w:firstLine="640" w:firstLineChars="200"/>
        <w:jc w:val="left"/>
        <w:textAlignment w:val="auto"/>
        <w:rPr>
          <w:rFonts w:eastAsia="方正楷体_GBK"/>
          <w:kern w:val="0"/>
          <w:sz w:val="32"/>
          <w:szCs w:val="32"/>
        </w:rPr>
      </w:pPr>
      <w:r>
        <w:rPr>
          <w:rFonts w:eastAsia="方正楷体_GBK"/>
          <w:kern w:val="0"/>
          <w:sz w:val="32"/>
          <w:szCs w:val="32"/>
          <w:lang w:bidi="ar"/>
        </w:rPr>
        <w:t>（二）新购营运货车补贴标准</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4"/>
        <w:gridCol w:w="1710"/>
        <w:gridCol w:w="2897"/>
        <w:gridCol w:w="33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trPr>
        <w:tc>
          <w:tcPr>
            <w:tcW w:w="2784" w:type="dxa"/>
            <w:gridSpan w:val="2"/>
            <w:vAlign w:val="center"/>
          </w:tcPr>
          <w:p>
            <w:pPr>
              <w:autoSpaceDE w:val="0"/>
              <w:spacing w:line="594" w:lineRule="exact"/>
              <w:jc w:val="center"/>
              <w:rPr>
                <w:rFonts w:eastAsia="方正黑体_GBK"/>
                <w:kern w:val="0"/>
                <w:sz w:val="28"/>
                <w:szCs w:val="28"/>
              </w:rPr>
            </w:pPr>
            <w:r>
              <w:rPr>
                <w:rFonts w:eastAsia="方正黑体_GBK"/>
                <w:kern w:val="0"/>
                <w:sz w:val="28"/>
                <w:szCs w:val="28"/>
                <w:lang w:bidi="ar"/>
              </w:rPr>
              <w:t>车辆类型</w:t>
            </w:r>
          </w:p>
        </w:tc>
        <w:tc>
          <w:tcPr>
            <w:tcW w:w="2897" w:type="dxa"/>
            <w:vAlign w:val="center"/>
          </w:tcPr>
          <w:p>
            <w:pPr>
              <w:autoSpaceDE w:val="0"/>
              <w:spacing w:line="594" w:lineRule="exact"/>
              <w:jc w:val="center"/>
              <w:rPr>
                <w:rFonts w:eastAsia="方正黑体_GBK"/>
                <w:kern w:val="0"/>
                <w:sz w:val="28"/>
                <w:szCs w:val="28"/>
              </w:rPr>
            </w:pPr>
            <w:r>
              <w:rPr>
                <w:rFonts w:eastAsia="方正黑体_GBK"/>
                <w:kern w:val="0"/>
                <w:sz w:val="28"/>
                <w:szCs w:val="28"/>
                <w:lang w:bidi="ar"/>
              </w:rPr>
              <w:t>新购国六排放标准营运货车补贴标准（万元/辆）</w:t>
            </w:r>
          </w:p>
        </w:tc>
        <w:tc>
          <w:tcPr>
            <w:tcW w:w="3375" w:type="dxa"/>
            <w:vAlign w:val="center"/>
          </w:tcPr>
          <w:p>
            <w:pPr>
              <w:autoSpaceDE w:val="0"/>
              <w:spacing w:line="594" w:lineRule="exact"/>
              <w:jc w:val="center"/>
              <w:rPr>
                <w:rFonts w:eastAsia="方正黑体_GBK"/>
                <w:kern w:val="0"/>
                <w:sz w:val="28"/>
                <w:szCs w:val="28"/>
              </w:rPr>
            </w:pPr>
            <w:r>
              <w:rPr>
                <w:rFonts w:eastAsia="方正黑体_GBK"/>
                <w:kern w:val="0"/>
                <w:sz w:val="28"/>
                <w:szCs w:val="28"/>
                <w:lang w:bidi="ar"/>
              </w:rPr>
              <w:t>新购新能源营运货车补贴标准（万元/辆）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84" w:type="dxa"/>
            <w:gridSpan w:val="2"/>
            <w:vAlign w:val="center"/>
          </w:tcPr>
          <w:p>
            <w:pPr>
              <w:autoSpaceDE w:val="0"/>
              <w:spacing w:line="594" w:lineRule="exact"/>
              <w:jc w:val="center"/>
              <w:rPr>
                <w:rFonts w:eastAsia="方正仿宋_GBK"/>
                <w:kern w:val="0"/>
                <w:sz w:val="28"/>
                <w:szCs w:val="28"/>
              </w:rPr>
            </w:pPr>
            <w:r>
              <w:rPr>
                <w:rFonts w:eastAsia="方正仿宋_GBK"/>
                <w:kern w:val="0"/>
                <w:sz w:val="28"/>
                <w:szCs w:val="28"/>
              </w:rPr>
              <w:t>中型</w:t>
            </w:r>
          </w:p>
        </w:tc>
        <w:tc>
          <w:tcPr>
            <w:tcW w:w="2897" w:type="dxa"/>
            <w:vAlign w:val="center"/>
          </w:tcPr>
          <w:p>
            <w:pPr>
              <w:autoSpaceDE w:val="0"/>
              <w:spacing w:line="594" w:lineRule="exact"/>
              <w:jc w:val="center"/>
              <w:rPr>
                <w:rFonts w:eastAsia="方正仿宋_GBK"/>
                <w:kern w:val="0"/>
                <w:sz w:val="28"/>
                <w:szCs w:val="28"/>
              </w:rPr>
            </w:pPr>
            <w:r>
              <w:rPr>
                <w:rFonts w:eastAsia="方正仿宋_GBK"/>
                <w:kern w:val="0"/>
                <w:sz w:val="28"/>
                <w:szCs w:val="28"/>
              </w:rPr>
              <w:t>2.5</w:t>
            </w:r>
          </w:p>
        </w:tc>
        <w:tc>
          <w:tcPr>
            <w:tcW w:w="3375" w:type="dxa"/>
            <w:vAlign w:val="center"/>
          </w:tcPr>
          <w:p>
            <w:pPr>
              <w:autoSpaceDE w:val="0"/>
              <w:spacing w:line="594" w:lineRule="exact"/>
              <w:jc w:val="center"/>
              <w:rPr>
                <w:rFonts w:eastAsia="方正仿宋_GBK"/>
                <w:kern w:val="0"/>
                <w:sz w:val="28"/>
                <w:szCs w:val="28"/>
              </w:rPr>
            </w:pPr>
            <w:r>
              <w:rPr>
                <w:rFonts w:eastAsia="方正仿宋_GBK"/>
                <w:kern w:val="0"/>
                <w:sz w:val="28"/>
                <w:szCs w:val="28"/>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4" w:type="dxa"/>
            <w:vMerge w:val="restart"/>
            <w:tcBorders>
              <w:top w:val="nil"/>
            </w:tcBorders>
            <w:vAlign w:val="center"/>
          </w:tcPr>
          <w:p>
            <w:pPr>
              <w:autoSpaceDE w:val="0"/>
              <w:spacing w:line="594" w:lineRule="exact"/>
              <w:jc w:val="center"/>
              <w:rPr>
                <w:rFonts w:eastAsia="方正仿宋_GBK"/>
                <w:kern w:val="0"/>
                <w:sz w:val="28"/>
                <w:szCs w:val="28"/>
              </w:rPr>
            </w:pPr>
            <w:r>
              <w:rPr>
                <w:rFonts w:eastAsia="方正仿宋_GBK"/>
                <w:kern w:val="0"/>
                <w:sz w:val="28"/>
                <w:szCs w:val="28"/>
              </w:rPr>
              <w:t>重型</w:t>
            </w:r>
          </w:p>
        </w:tc>
        <w:tc>
          <w:tcPr>
            <w:tcW w:w="1710" w:type="dxa"/>
            <w:vAlign w:val="center"/>
          </w:tcPr>
          <w:p>
            <w:pPr>
              <w:autoSpaceDE w:val="0"/>
              <w:spacing w:line="594" w:lineRule="exact"/>
              <w:jc w:val="center"/>
              <w:rPr>
                <w:rFonts w:eastAsia="方正仿宋_GBK"/>
                <w:kern w:val="0"/>
                <w:sz w:val="28"/>
                <w:szCs w:val="28"/>
              </w:rPr>
            </w:pPr>
            <w:r>
              <w:rPr>
                <w:rFonts w:eastAsia="方正仿宋_GBK"/>
                <w:kern w:val="0"/>
                <w:sz w:val="28"/>
                <w:szCs w:val="28"/>
              </w:rPr>
              <w:t>2轴</w:t>
            </w:r>
          </w:p>
        </w:tc>
        <w:tc>
          <w:tcPr>
            <w:tcW w:w="2897" w:type="dxa"/>
            <w:vAlign w:val="center"/>
          </w:tcPr>
          <w:p>
            <w:pPr>
              <w:autoSpaceDE w:val="0"/>
              <w:spacing w:line="594" w:lineRule="exact"/>
              <w:jc w:val="center"/>
              <w:rPr>
                <w:rFonts w:eastAsia="方正仿宋_GBK"/>
                <w:kern w:val="0"/>
                <w:sz w:val="28"/>
                <w:szCs w:val="28"/>
              </w:rPr>
            </w:pPr>
            <w:r>
              <w:rPr>
                <w:rFonts w:eastAsia="方正仿宋_GBK"/>
                <w:kern w:val="0"/>
                <w:sz w:val="28"/>
                <w:szCs w:val="28"/>
              </w:rPr>
              <w:t>4.0</w:t>
            </w:r>
          </w:p>
        </w:tc>
        <w:tc>
          <w:tcPr>
            <w:tcW w:w="3375" w:type="dxa"/>
            <w:vAlign w:val="center"/>
          </w:tcPr>
          <w:p>
            <w:pPr>
              <w:autoSpaceDE w:val="0"/>
              <w:spacing w:line="594" w:lineRule="exact"/>
              <w:jc w:val="center"/>
              <w:rPr>
                <w:rFonts w:eastAsia="方正仿宋_GBK"/>
                <w:kern w:val="0"/>
                <w:sz w:val="28"/>
                <w:szCs w:val="28"/>
              </w:rPr>
            </w:pPr>
            <w:r>
              <w:rPr>
                <w:rFonts w:eastAsia="方正仿宋_GBK"/>
                <w:kern w:val="0"/>
                <w:sz w:val="28"/>
                <w:szCs w:val="28"/>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4" w:type="dxa"/>
            <w:vMerge w:val="continue"/>
            <w:tcBorders>
              <w:top w:val="nil"/>
            </w:tcBorders>
            <w:vAlign w:val="center"/>
          </w:tcPr>
          <w:p>
            <w:pPr>
              <w:autoSpaceDE w:val="0"/>
              <w:spacing w:line="594" w:lineRule="exact"/>
              <w:jc w:val="center"/>
              <w:rPr>
                <w:rFonts w:eastAsia="方正仿宋_GBK"/>
                <w:kern w:val="0"/>
                <w:sz w:val="28"/>
                <w:szCs w:val="28"/>
              </w:rPr>
            </w:pPr>
          </w:p>
        </w:tc>
        <w:tc>
          <w:tcPr>
            <w:tcW w:w="1710" w:type="dxa"/>
            <w:vAlign w:val="center"/>
          </w:tcPr>
          <w:p>
            <w:pPr>
              <w:autoSpaceDE w:val="0"/>
              <w:spacing w:line="594" w:lineRule="exact"/>
              <w:jc w:val="center"/>
              <w:rPr>
                <w:rFonts w:eastAsia="方正仿宋_GBK"/>
                <w:kern w:val="0"/>
                <w:sz w:val="28"/>
                <w:szCs w:val="28"/>
              </w:rPr>
            </w:pPr>
            <w:r>
              <w:rPr>
                <w:rFonts w:eastAsia="方正仿宋_GBK"/>
                <w:kern w:val="0"/>
                <w:sz w:val="28"/>
                <w:szCs w:val="28"/>
              </w:rPr>
              <w:t>3轴</w:t>
            </w:r>
          </w:p>
        </w:tc>
        <w:tc>
          <w:tcPr>
            <w:tcW w:w="2897" w:type="dxa"/>
            <w:vAlign w:val="center"/>
          </w:tcPr>
          <w:p>
            <w:pPr>
              <w:autoSpaceDE w:val="0"/>
              <w:spacing w:line="594" w:lineRule="exact"/>
              <w:jc w:val="center"/>
              <w:rPr>
                <w:rFonts w:eastAsia="方正仿宋_GBK"/>
                <w:kern w:val="0"/>
                <w:sz w:val="28"/>
                <w:szCs w:val="28"/>
              </w:rPr>
            </w:pPr>
            <w:r>
              <w:rPr>
                <w:rFonts w:eastAsia="方正仿宋_GBK"/>
                <w:kern w:val="0"/>
                <w:sz w:val="28"/>
                <w:szCs w:val="28"/>
              </w:rPr>
              <w:t>5.5</w:t>
            </w:r>
          </w:p>
        </w:tc>
        <w:tc>
          <w:tcPr>
            <w:tcW w:w="3375" w:type="dxa"/>
            <w:vAlign w:val="center"/>
          </w:tcPr>
          <w:p>
            <w:pPr>
              <w:autoSpaceDE w:val="0"/>
              <w:spacing w:line="594" w:lineRule="exact"/>
              <w:jc w:val="center"/>
              <w:rPr>
                <w:rFonts w:hint="eastAsia" w:eastAsia="方正仿宋_GBK"/>
                <w:kern w:val="0"/>
                <w:sz w:val="28"/>
                <w:szCs w:val="28"/>
              </w:rPr>
            </w:pPr>
            <w:r>
              <w:rPr>
                <w:rFonts w:eastAsia="方正仿宋_GBK"/>
                <w:kern w:val="0"/>
                <w:sz w:val="28"/>
                <w:szCs w:val="28"/>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4" w:type="dxa"/>
            <w:vMerge w:val="continue"/>
            <w:tcBorders>
              <w:top w:val="nil"/>
            </w:tcBorders>
            <w:vAlign w:val="center"/>
          </w:tcPr>
          <w:p>
            <w:pPr>
              <w:autoSpaceDE w:val="0"/>
              <w:spacing w:line="594" w:lineRule="exact"/>
              <w:jc w:val="center"/>
              <w:rPr>
                <w:rFonts w:eastAsia="方正仿宋_GBK"/>
                <w:kern w:val="0"/>
                <w:sz w:val="28"/>
                <w:szCs w:val="28"/>
              </w:rPr>
            </w:pPr>
          </w:p>
        </w:tc>
        <w:tc>
          <w:tcPr>
            <w:tcW w:w="1710" w:type="dxa"/>
            <w:vAlign w:val="center"/>
          </w:tcPr>
          <w:p>
            <w:pPr>
              <w:autoSpaceDE w:val="0"/>
              <w:spacing w:line="594" w:lineRule="exact"/>
              <w:jc w:val="center"/>
              <w:rPr>
                <w:rFonts w:eastAsia="方正仿宋_GBK"/>
                <w:kern w:val="0"/>
                <w:sz w:val="28"/>
                <w:szCs w:val="28"/>
              </w:rPr>
            </w:pPr>
            <w:r>
              <w:rPr>
                <w:rFonts w:eastAsia="方正仿宋_GBK"/>
                <w:kern w:val="0"/>
                <w:sz w:val="28"/>
                <w:szCs w:val="28"/>
              </w:rPr>
              <w:t>4轴及以上</w:t>
            </w:r>
          </w:p>
        </w:tc>
        <w:tc>
          <w:tcPr>
            <w:tcW w:w="2897" w:type="dxa"/>
            <w:vAlign w:val="center"/>
          </w:tcPr>
          <w:p>
            <w:pPr>
              <w:autoSpaceDE w:val="0"/>
              <w:spacing w:line="594" w:lineRule="exact"/>
              <w:jc w:val="center"/>
              <w:rPr>
                <w:rFonts w:eastAsia="方正仿宋_GBK"/>
                <w:kern w:val="0"/>
                <w:sz w:val="28"/>
                <w:szCs w:val="28"/>
              </w:rPr>
            </w:pPr>
            <w:r>
              <w:rPr>
                <w:rFonts w:eastAsia="方正仿宋_GBK"/>
                <w:kern w:val="0"/>
                <w:sz w:val="28"/>
                <w:szCs w:val="28"/>
              </w:rPr>
              <w:t>6.5</w:t>
            </w:r>
          </w:p>
        </w:tc>
        <w:tc>
          <w:tcPr>
            <w:tcW w:w="3375" w:type="dxa"/>
            <w:vAlign w:val="center"/>
          </w:tcPr>
          <w:p>
            <w:pPr>
              <w:autoSpaceDE w:val="0"/>
              <w:spacing w:line="594" w:lineRule="exact"/>
              <w:jc w:val="center"/>
              <w:rPr>
                <w:rFonts w:eastAsia="方正仿宋_GBK"/>
                <w:kern w:val="0"/>
                <w:sz w:val="28"/>
                <w:szCs w:val="28"/>
              </w:rPr>
            </w:pPr>
            <w:r>
              <w:rPr>
                <w:rFonts w:eastAsia="方正仿宋_GBK"/>
                <w:kern w:val="0"/>
                <w:sz w:val="28"/>
                <w:szCs w:val="28"/>
              </w:rPr>
              <w:t>9.5</w:t>
            </w:r>
          </w:p>
        </w:tc>
      </w:tr>
    </w:tbl>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eastAsia="方正楷体_GBK"/>
          <w:spacing w:val="-10"/>
          <w:kern w:val="0"/>
          <w:sz w:val="32"/>
          <w:szCs w:val="32"/>
        </w:rPr>
      </w:pPr>
      <w:r>
        <w:rPr>
          <w:rFonts w:hint="eastAsia" w:eastAsia="方正楷体_GBK"/>
          <w:spacing w:val="-10"/>
          <w:kern w:val="0"/>
          <w:sz w:val="32"/>
          <w:szCs w:val="32"/>
        </w:rPr>
        <w:t>（三）</w:t>
      </w:r>
      <w:r>
        <w:rPr>
          <w:rFonts w:hint="eastAsia" w:eastAsia="方正楷体_GBK"/>
          <w:kern w:val="0"/>
          <w:sz w:val="32"/>
          <w:szCs w:val="32"/>
        </w:rPr>
        <w:t>仅</w:t>
      </w:r>
      <w:r>
        <w:rPr>
          <w:rFonts w:hint="eastAsia" w:eastAsia="方正楷体_GBK"/>
          <w:spacing w:val="-10"/>
          <w:kern w:val="0"/>
          <w:sz w:val="32"/>
          <w:szCs w:val="32"/>
        </w:rPr>
        <w:t>新购置新能源城市冷链配送货车每辆车补贴3.5万元。</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eastAsia="方正楷体_GBK"/>
          <w:spacing w:val="-10"/>
          <w:kern w:val="0"/>
          <w:sz w:val="32"/>
          <w:szCs w:val="32"/>
        </w:rPr>
      </w:pPr>
      <w:r>
        <w:rPr>
          <w:rFonts w:hint="eastAsia" w:eastAsia="方正楷体_GBK"/>
          <w:spacing w:val="-10"/>
          <w:kern w:val="0"/>
          <w:sz w:val="32"/>
          <w:szCs w:val="32"/>
        </w:rPr>
        <w:t>（四）报废老旧营运货车，并新购营运货车补贴标准按以下方法计算：</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eastAsia="方正仿宋_GBK"/>
          <w:spacing w:val="-10"/>
          <w:kern w:val="0"/>
          <w:sz w:val="32"/>
          <w:szCs w:val="32"/>
        </w:rPr>
      </w:pPr>
      <w:r>
        <w:rPr>
          <w:rFonts w:hint="eastAsia" w:eastAsia="方正仿宋_GBK"/>
          <w:spacing w:val="-10"/>
          <w:kern w:val="0"/>
          <w:sz w:val="32"/>
          <w:szCs w:val="32"/>
        </w:rPr>
        <w:t>报废并新购国六排放标准营运货车补贴=报废老旧营运货车补贴+新购国六排放标准营运货车补贴</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eastAsia="方正仿宋_GBK"/>
          <w:spacing w:val="-10"/>
          <w:kern w:val="0"/>
          <w:sz w:val="32"/>
          <w:szCs w:val="32"/>
        </w:rPr>
      </w:pPr>
      <w:r>
        <w:rPr>
          <w:rFonts w:hint="eastAsia" w:eastAsia="方正仿宋_GBK"/>
          <w:spacing w:val="-10"/>
          <w:kern w:val="0"/>
          <w:sz w:val="32"/>
          <w:szCs w:val="32"/>
        </w:rPr>
        <w:t>报废并新购新能源货车补贴=报废老旧营运货车补贴+新购新能源营运货车补贴</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eastAsia="方正仿宋_GBK"/>
          <w:spacing w:val="-10"/>
          <w:kern w:val="0"/>
          <w:sz w:val="32"/>
          <w:szCs w:val="32"/>
        </w:rPr>
      </w:pPr>
      <w:r>
        <w:rPr>
          <w:rFonts w:hint="eastAsia" w:eastAsia="方正仿宋_GBK"/>
          <w:spacing w:val="-10"/>
          <w:kern w:val="0"/>
          <w:sz w:val="32"/>
          <w:szCs w:val="32"/>
        </w:rPr>
        <w:t>其中，新购国六排放标准营运货车或新能源营运货车补贴按（二）标准执行。报废老旧营运货车距离强制报废时间不足1年的，可以申请新购营运货车补贴。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黑体_GBK"/>
          <w:kern w:val="0"/>
          <w:sz w:val="32"/>
          <w:szCs w:val="32"/>
        </w:rPr>
      </w:pPr>
      <w:r>
        <w:rPr>
          <w:rFonts w:hint="eastAsia" w:eastAsia="方正黑体_GBK"/>
          <w:kern w:val="0"/>
          <w:sz w:val="32"/>
          <w:szCs w:val="32"/>
        </w:rPr>
        <w:t>四</w:t>
      </w:r>
      <w:r>
        <w:rPr>
          <w:rFonts w:eastAsia="方正黑体_GBK"/>
          <w:kern w:val="0"/>
          <w:sz w:val="32"/>
          <w:szCs w:val="32"/>
        </w:rPr>
        <w:t>、补贴条件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楷体_GBK" w:cs="方正楷体_GBK"/>
          <w:sz w:val="32"/>
          <w:szCs w:val="32"/>
        </w:rPr>
      </w:pPr>
      <w:r>
        <w:rPr>
          <w:rFonts w:hint="eastAsia" w:eastAsia="方正楷体_GBK" w:cs="方正楷体_GBK"/>
          <w:sz w:val="32"/>
          <w:szCs w:val="32"/>
        </w:rPr>
        <w:t>（一）报废货车符合以下条件的，车辆所有人可以申请资金：</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sz w:val="32"/>
          <w:szCs w:val="32"/>
        </w:rPr>
      </w:pPr>
      <w:r>
        <w:rPr>
          <w:rFonts w:hint="eastAsia" w:eastAsia="方正仿宋_GBK"/>
          <w:sz w:val="32"/>
          <w:szCs w:val="32"/>
        </w:rPr>
        <w:t>1．国四及以下排放标准中型、重型营运货车；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sz w:val="32"/>
          <w:szCs w:val="32"/>
        </w:rPr>
      </w:pPr>
      <w:r>
        <w:rPr>
          <w:rFonts w:hint="eastAsia" w:eastAsia="方正仿宋_GBK"/>
          <w:sz w:val="32"/>
          <w:szCs w:val="32"/>
        </w:rPr>
        <w:t>2．持有公安机关开具的《机动车注销证明》和具有资质的报废机动车回收拆解企业开具的《报废机动车回收证明》，及车辆注销前，交通运输主管部门发放的有效《道路运输证》。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cs="方正仿宋_GBK"/>
          <w:sz w:val="32"/>
          <w:szCs w:val="32"/>
        </w:rPr>
      </w:pPr>
      <w:r>
        <w:rPr>
          <w:rFonts w:hint="eastAsia" w:eastAsia="方正仿宋_GBK" w:cs="方正仿宋_GBK"/>
          <w:sz w:val="32"/>
          <w:szCs w:val="32"/>
        </w:rPr>
        <w:t>（注：报废货车的《道路运输证》注销日期不得早于公安机关开具的《机动车注销证明》日期）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楷体_GBK" w:cs="方正楷体_GBK"/>
          <w:sz w:val="32"/>
          <w:szCs w:val="32"/>
        </w:rPr>
      </w:pPr>
      <w:r>
        <w:rPr>
          <w:rFonts w:hint="eastAsia" w:eastAsia="方正楷体_GBK" w:cs="方正楷体_GBK"/>
          <w:sz w:val="32"/>
          <w:szCs w:val="32"/>
        </w:rPr>
        <w:t>（二）</w:t>
      </w:r>
      <w:r>
        <w:rPr>
          <w:rFonts w:eastAsia="方正楷体_GBK" w:cs="方正楷体_GBK"/>
          <w:sz w:val="32"/>
          <w:szCs w:val="32"/>
        </w:rPr>
        <w:t>报废更新货车符合以下条件的，车辆所有人可以申请资金</w:t>
      </w:r>
      <w:r>
        <w:rPr>
          <w:rFonts w:hint="eastAsia" w:eastAsia="方正楷体_GBK" w:cs="方正楷体_GBK"/>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sz w:val="32"/>
          <w:szCs w:val="32"/>
        </w:rPr>
      </w:pPr>
      <w:r>
        <w:rPr>
          <w:rFonts w:hint="eastAsia" w:eastAsia="方正仿宋_GBK"/>
          <w:sz w:val="32"/>
          <w:szCs w:val="32"/>
        </w:rPr>
        <w:t>1．报废车辆应当符合前述（一）中报废车辆要求；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sz w:val="32"/>
          <w:szCs w:val="32"/>
        </w:rPr>
      </w:pPr>
      <w:r>
        <w:rPr>
          <w:rFonts w:hint="eastAsia" w:eastAsia="方正仿宋_GBK"/>
          <w:sz w:val="32"/>
          <w:szCs w:val="32"/>
        </w:rPr>
        <w:t>2．新购置车辆应当为注册登记的新能源车辆或国六排放标准车辆，并持有交通运输主管部门发放的有效《道路运输证》。其中，新能源车辆应纳入《减免车辆购置税的新能源汽车车型目录》；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sz w:val="32"/>
          <w:szCs w:val="32"/>
        </w:rPr>
      </w:pPr>
      <w:r>
        <w:rPr>
          <w:rFonts w:hint="eastAsia" w:eastAsia="方正仿宋_GBK"/>
          <w:sz w:val="32"/>
          <w:szCs w:val="32"/>
        </w:rPr>
        <w:t>3．新购置车辆与报废车辆注册登记所有人一致；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sz w:val="32"/>
          <w:szCs w:val="32"/>
        </w:rPr>
      </w:pPr>
      <w:r>
        <w:rPr>
          <w:rFonts w:hint="eastAsia" w:eastAsia="方正仿宋_GBK"/>
          <w:sz w:val="32"/>
          <w:szCs w:val="32"/>
        </w:rPr>
        <w:t>4．新购置车辆应当为首次注册登记的新车。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cs="方正仿宋_GBK"/>
          <w:sz w:val="32"/>
          <w:szCs w:val="32"/>
        </w:rPr>
      </w:pPr>
      <w:r>
        <w:rPr>
          <w:rFonts w:hint="eastAsia" w:eastAsia="方正仿宋_GBK" w:cs="方正仿宋_GBK"/>
          <w:sz w:val="32"/>
          <w:szCs w:val="32"/>
        </w:rPr>
        <w:t>（注：先购置新车再购置旧车报废的，不符合报废并更新补贴范围，仅可办理老旧营运货车报废补贴。）</w:t>
      </w:r>
    </w:p>
    <w:p>
      <w:pPr>
        <w:keepNext w:val="0"/>
        <w:keepLines w:val="0"/>
        <w:pageBreakBefore w:val="0"/>
        <w:widowControl w:val="0"/>
        <w:kinsoku/>
        <w:wordWrap/>
        <w:overflowPunct/>
        <w:topLinePunct w:val="0"/>
        <w:autoSpaceDE/>
        <w:autoSpaceDN/>
        <w:bidi w:val="0"/>
        <w:adjustRightInd/>
        <w:snapToGrid/>
        <w:spacing w:line="600" w:lineRule="exact"/>
        <w:ind w:firstLine="608" w:firstLineChars="200"/>
        <w:textAlignment w:val="auto"/>
        <w:rPr>
          <w:rFonts w:hint="eastAsia" w:eastAsia="方正楷体_GBK" w:cs="方正楷体_GBK"/>
          <w:spacing w:val="-8"/>
          <w:sz w:val="32"/>
          <w:szCs w:val="32"/>
        </w:rPr>
      </w:pPr>
      <w:r>
        <w:rPr>
          <w:rFonts w:hint="eastAsia" w:eastAsia="方正楷体_GBK" w:cs="方正楷体_GBK"/>
          <w:spacing w:val="-8"/>
          <w:sz w:val="32"/>
          <w:szCs w:val="32"/>
        </w:rPr>
        <w:t>（三）新购置货车符合以下条件的，车辆所有人可以申请资金：</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sz w:val="32"/>
          <w:szCs w:val="32"/>
        </w:rPr>
      </w:pPr>
      <w:r>
        <w:rPr>
          <w:rFonts w:hint="eastAsia" w:eastAsia="方正仿宋_GBK"/>
          <w:sz w:val="32"/>
          <w:szCs w:val="32"/>
        </w:rPr>
        <w:t>1．新购置车辆应当为注册登记的新能源城市冷链配送货车〔须符合《城市物流配送汽车选型技术要求》（GB/T</w:t>
      </w:r>
      <w:r>
        <w:rPr>
          <w:rFonts w:hint="eastAsia" w:eastAsia="方正仿宋_GBK"/>
          <w:sz w:val="32"/>
          <w:szCs w:val="32"/>
          <w:lang w:val="en-US" w:eastAsia="zh-CN"/>
        </w:rPr>
        <w:t xml:space="preserve"> </w:t>
      </w:r>
      <w:r>
        <w:rPr>
          <w:rFonts w:hint="eastAsia" w:eastAsia="方正仿宋_GBK"/>
          <w:sz w:val="32"/>
          <w:szCs w:val="32"/>
        </w:rPr>
        <w:t>29912—2024）相关要求，并纳入《减免车辆购置税的新能源汽车车型目录》〕，且持有交通运输主管部门发放的有效《道路运输证》；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sz w:val="32"/>
          <w:szCs w:val="32"/>
        </w:rPr>
      </w:pPr>
      <w:r>
        <w:rPr>
          <w:rFonts w:hint="eastAsia" w:eastAsia="方正仿宋_GBK"/>
          <w:sz w:val="32"/>
          <w:szCs w:val="32"/>
        </w:rPr>
        <w:t>2．新购置车辆应当为首次注册登记的新车。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黑体_GBK"/>
          <w:kern w:val="0"/>
          <w:sz w:val="32"/>
          <w:szCs w:val="32"/>
        </w:rPr>
      </w:pPr>
      <w:r>
        <w:rPr>
          <w:rFonts w:eastAsia="方正黑体_GBK"/>
          <w:kern w:val="0"/>
          <w:sz w:val="32"/>
          <w:szCs w:val="32"/>
        </w:rPr>
        <w:t>五、申报流程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楷体_GBK"/>
          <w:kern w:val="0"/>
          <w:sz w:val="32"/>
          <w:szCs w:val="32"/>
        </w:rPr>
      </w:pPr>
      <w:r>
        <w:rPr>
          <w:rFonts w:eastAsia="方正楷体_GBK"/>
          <w:kern w:val="0"/>
          <w:sz w:val="32"/>
          <w:szCs w:val="32"/>
        </w:rPr>
        <w:t>（一）申报方式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kern w:val="0"/>
          <w:sz w:val="32"/>
          <w:szCs w:val="32"/>
          <w:lang w:eastAsia="zh"/>
        </w:rPr>
      </w:pPr>
      <w:r>
        <w:rPr>
          <w:rFonts w:hint="eastAsia" w:eastAsia="方正仿宋_GBK"/>
          <w:kern w:val="0"/>
          <w:sz w:val="32"/>
          <w:szCs w:val="32"/>
        </w:rPr>
        <w:t>道路货物运输业户于2026年</w:t>
      </w:r>
      <w:r>
        <w:rPr>
          <w:rFonts w:hint="eastAsia" w:eastAsia="方正仿宋_GBK"/>
          <w:kern w:val="0"/>
          <w:sz w:val="32"/>
          <w:szCs w:val="32"/>
          <w:lang w:val="en-US" w:eastAsia="zh-CN"/>
        </w:rPr>
        <w:t>7</w:t>
      </w:r>
      <w:r>
        <w:rPr>
          <w:rFonts w:hint="eastAsia" w:eastAsia="方正仿宋_GBK"/>
          <w:kern w:val="0"/>
          <w:sz w:val="32"/>
          <w:szCs w:val="32"/>
        </w:rPr>
        <w:t>月</w:t>
      </w:r>
      <w:r>
        <w:rPr>
          <w:rFonts w:hint="eastAsia" w:eastAsia="方正仿宋_GBK"/>
          <w:kern w:val="0"/>
          <w:sz w:val="32"/>
          <w:szCs w:val="32"/>
          <w:lang w:val="en-US" w:eastAsia="zh-CN"/>
        </w:rPr>
        <w:t>17</w:t>
      </w:r>
      <w:r>
        <w:rPr>
          <w:rFonts w:hint="eastAsia" w:eastAsia="方正仿宋_GBK"/>
          <w:kern w:val="0"/>
          <w:sz w:val="32"/>
          <w:szCs w:val="32"/>
        </w:rPr>
        <w:t>日</w:t>
      </w:r>
      <w:r>
        <w:rPr>
          <w:rFonts w:hint="eastAsia" w:eastAsia="方正仿宋_GBK"/>
          <w:kern w:val="0"/>
          <w:sz w:val="32"/>
          <w:szCs w:val="32"/>
          <w:lang w:eastAsia="zh-CN"/>
        </w:rPr>
        <w:t>—</w:t>
      </w:r>
      <w:r>
        <w:rPr>
          <w:rFonts w:hint="eastAsia" w:eastAsia="方正仿宋_GBK"/>
          <w:kern w:val="0"/>
          <w:sz w:val="32"/>
          <w:szCs w:val="32"/>
        </w:rPr>
        <w:t>12月31日（申请截止日），通过“渝快办”APP</w:t>
      </w:r>
      <w:r>
        <w:rPr>
          <w:rFonts w:hint="eastAsia" w:eastAsia="方正仿宋_GBK"/>
          <w:kern w:val="0"/>
          <w:sz w:val="32"/>
          <w:szCs w:val="32"/>
          <w:lang w:eastAsia="zh"/>
        </w:rPr>
        <w:t>线上办理（手机端和PC端均可）。</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eastAsia" w:eastAsia="方正楷体_GBK"/>
          <w:kern w:val="0"/>
          <w:sz w:val="32"/>
          <w:szCs w:val="32"/>
        </w:rPr>
      </w:pPr>
      <w:r>
        <w:rPr>
          <w:rFonts w:hint="eastAsia" w:eastAsia="方正楷体_GBK"/>
          <w:kern w:val="0"/>
          <w:sz w:val="32"/>
          <w:szCs w:val="32"/>
        </w:rPr>
        <w:t>申报材料</w:t>
      </w:r>
      <w:r>
        <w:rPr>
          <w:rFonts w:eastAsia="方正楷体_GBK"/>
          <w:kern w:val="0"/>
          <w:sz w:val="32"/>
          <w:szCs w:val="32"/>
        </w:rPr>
        <w:t>（提交以下证明材料复印件或扫描件）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kern w:val="0"/>
          <w:sz w:val="32"/>
          <w:szCs w:val="32"/>
        </w:rPr>
      </w:pPr>
      <w:r>
        <w:rPr>
          <w:rFonts w:hint="eastAsia" w:eastAsia="方正仿宋_GBK"/>
          <w:kern w:val="0"/>
          <w:sz w:val="32"/>
          <w:szCs w:val="32"/>
        </w:rPr>
        <w:t>1．申请老旧营运货车仅报废补贴资金的：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kern w:val="0"/>
          <w:sz w:val="32"/>
          <w:szCs w:val="32"/>
        </w:rPr>
      </w:pPr>
      <w:r>
        <w:rPr>
          <w:rFonts w:hint="eastAsia" w:eastAsia="方正仿宋_GBK"/>
          <w:kern w:val="0"/>
          <w:sz w:val="32"/>
          <w:szCs w:val="32"/>
        </w:rPr>
        <w:t>（1）企业提供法定代表人身份证明，营业执照，如有委托人，还应提供委托人身份证明和委托书；个体户提供车辆所有人身份证明，营业执照，如有委托人，还应提供委托人身份证明和委托书。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spacing w:val="-10"/>
          <w:kern w:val="0"/>
          <w:sz w:val="32"/>
          <w:szCs w:val="32"/>
        </w:rPr>
      </w:pPr>
      <w:r>
        <w:rPr>
          <w:rFonts w:hint="eastAsia" w:eastAsia="方正仿宋_GBK"/>
          <w:kern w:val="0"/>
          <w:sz w:val="32"/>
          <w:szCs w:val="32"/>
        </w:rPr>
        <w:t>（2）《</w:t>
      </w:r>
      <w:r>
        <w:rPr>
          <w:rFonts w:hint="eastAsia" w:eastAsia="方正仿宋_GBK"/>
          <w:spacing w:val="-10"/>
          <w:kern w:val="0"/>
          <w:sz w:val="32"/>
          <w:szCs w:val="32"/>
        </w:rPr>
        <w:t>老旧营运货车报废更新补贴资金申请表》；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kern w:val="0"/>
          <w:sz w:val="32"/>
          <w:szCs w:val="32"/>
        </w:rPr>
      </w:pPr>
      <w:r>
        <w:rPr>
          <w:rFonts w:hint="eastAsia" w:eastAsia="方正仿宋_GBK"/>
          <w:kern w:val="0"/>
          <w:sz w:val="32"/>
          <w:szCs w:val="32"/>
        </w:rPr>
        <w:t>（3）具有资质的报废机动车回收拆解企业开具的《报废机动车回收证明》；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kern w:val="0"/>
          <w:sz w:val="32"/>
          <w:szCs w:val="32"/>
        </w:rPr>
      </w:pPr>
      <w:r>
        <w:rPr>
          <w:rFonts w:hint="eastAsia" w:eastAsia="方正仿宋_GBK"/>
          <w:kern w:val="0"/>
          <w:sz w:val="32"/>
          <w:szCs w:val="32"/>
        </w:rPr>
        <w:t>（4）公安机关开具的《机动车注销证明》。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bCs/>
          <w:kern w:val="0"/>
          <w:sz w:val="32"/>
          <w:szCs w:val="32"/>
        </w:rPr>
      </w:pPr>
      <w:r>
        <w:rPr>
          <w:rFonts w:hint="eastAsia" w:eastAsia="方正仿宋_GBK"/>
          <w:kern w:val="0"/>
          <w:sz w:val="32"/>
          <w:szCs w:val="32"/>
        </w:rPr>
        <w:t>2．申请老旧营运货车报废并更新补贴资金的</w:t>
      </w:r>
      <w:r>
        <w:rPr>
          <w:rFonts w:hint="eastAsia" w:eastAsia="方正仿宋_GBK"/>
          <w:bCs/>
          <w:kern w:val="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kern w:val="0"/>
          <w:sz w:val="32"/>
          <w:szCs w:val="32"/>
        </w:rPr>
      </w:pPr>
      <w:r>
        <w:rPr>
          <w:rFonts w:hint="eastAsia" w:eastAsia="方正仿宋_GBK"/>
          <w:kern w:val="0"/>
          <w:sz w:val="32"/>
          <w:szCs w:val="32"/>
        </w:rPr>
        <w:t>（1）企业提供法定代表人身份证明，营业执照，如有委托人，还应提供委托人身份证明和委托书；个体户提供车辆所有人身份证明，营业执照，如有委托人，还应提供委托人身份证明和委托书。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kern w:val="0"/>
          <w:sz w:val="32"/>
          <w:szCs w:val="32"/>
        </w:rPr>
      </w:pPr>
      <w:r>
        <w:rPr>
          <w:rFonts w:hint="eastAsia" w:eastAsia="方正仿宋_GBK"/>
          <w:kern w:val="0"/>
          <w:sz w:val="32"/>
          <w:szCs w:val="32"/>
        </w:rPr>
        <w:t>（2）《老旧营运货车报废更新补贴资金申请表》；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kern w:val="0"/>
          <w:sz w:val="32"/>
          <w:szCs w:val="32"/>
        </w:rPr>
      </w:pPr>
      <w:r>
        <w:rPr>
          <w:rFonts w:hint="eastAsia" w:eastAsia="方正仿宋_GBK"/>
          <w:kern w:val="0"/>
          <w:sz w:val="32"/>
          <w:szCs w:val="32"/>
        </w:rPr>
        <w:t>（3）具有资质的报废机动车回收拆解企业开具的《报废机动车回收证明》；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kern w:val="0"/>
          <w:sz w:val="32"/>
          <w:szCs w:val="32"/>
        </w:rPr>
      </w:pPr>
      <w:r>
        <w:rPr>
          <w:rFonts w:hint="eastAsia" w:eastAsia="方正仿宋_GBK"/>
          <w:kern w:val="0"/>
          <w:sz w:val="32"/>
          <w:szCs w:val="32"/>
        </w:rPr>
        <w:t>（4）公安机关开具的《机动车注销证明》；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kern w:val="0"/>
          <w:sz w:val="32"/>
          <w:szCs w:val="32"/>
        </w:rPr>
      </w:pPr>
      <w:r>
        <w:rPr>
          <w:rFonts w:hint="eastAsia" w:eastAsia="方正仿宋_GBK"/>
          <w:kern w:val="0"/>
          <w:sz w:val="32"/>
          <w:szCs w:val="32"/>
        </w:rPr>
        <w:t>（5）新购置车辆的《机动车行驶证》；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kern w:val="0"/>
          <w:sz w:val="32"/>
          <w:szCs w:val="32"/>
        </w:rPr>
      </w:pPr>
      <w:r>
        <w:rPr>
          <w:rFonts w:hint="eastAsia" w:eastAsia="方正仿宋_GBK"/>
          <w:kern w:val="0"/>
          <w:sz w:val="32"/>
          <w:szCs w:val="32"/>
        </w:rPr>
        <w:t>（6）新购置车辆为新能源的，还应提供车辆生产厂家提供的纳入《减免车辆购置税的新能源汽车车型目录》书面证明。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kern w:val="0"/>
          <w:sz w:val="32"/>
          <w:szCs w:val="32"/>
        </w:rPr>
      </w:pPr>
      <w:r>
        <w:rPr>
          <w:rFonts w:hint="eastAsia" w:eastAsia="方正仿宋_GBK"/>
          <w:kern w:val="0"/>
          <w:sz w:val="32"/>
          <w:szCs w:val="32"/>
        </w:rPr>
        <w:t>3．申请仅新购置车辆补贴资金的：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kern w:val="0"/>
          <w:sz w:val="32"/>
          <w:szCs w:val="32"/>
        </w:rPr>
      </w:pPr>
      <w:r>
        <w:rPr>
          <w:rFonts w:hint="eastAsia" w:eastAsia="方正仿宋_GBK"/>
          <w:kern w:val="0"/>
          <w:sz w:val="32"/>
          <w:szCs w:val="32"/>
        </w:rPr>
        <w:t>（1）企业提供法定代表人身份证明，营业执照，如有委托人，还应提供委托人身份证明和委托书；个体户提供车辆所有人身份证明，营业执照，如有委托人，还应提供委托人身份证明和委托书。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kern w:val="0"/>
          <w:sz w:val="32"/>
          <w:szCs w:val="32"/>
        </w:rPr>
      </w:pPr>
      <w:r>
        <w:rPr>
          <w:rFonts w:hint="eastAsia" w:eastAsia="方正仿宋_GBK"/>
          <w:kern w:val="0"/>
          <w:sz w:val="32"/>
          <w:szCs w:val="32"/>
        </w:rPr>
        <w:t>（2）《老旧营运货车报废更新补贴资金申请表》；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kern w:val="0"/>
          <w:sz w:val="32"/>
          <w:szCs w:val="32"/>
        </w:rPr>
      </w:pPr>
      <w:r>
        <w:rPr>
          <w:rFonts w:hint="eastAsia" w:eastAsia="方正仿宋_GBK"/>
          <w:kern w:val="0"/>
          <w:sz w:val="32"/>
          <w:szCs w:val="32"/>
        </w:rPr>
        <w:t>（3）新购置车辆的《机动车行驶证》；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kern w:val="0"/>
          <w:sz w:val="32"/>
          <w:szCs w:val="32"/>
        </w:rPr>
      </w:pPr>
      <w:r>
        <w:rPr>
          <w:rFonts w:hint="eastAsia" w:eastAsia="方正仿宋_GBK"/>
          <w:kern w:val="0"/>
          <w:sz w:val="32"/>
          <w:szCs w:val="32"/>
        </w:rPr>
        <w:t>（4）车辆生产厂家开具的符合《城市物流配送汽车选型技术要求》（GB/T 29912-2024）及纳入《减免车辆购置税的新能源汽车车型目录》书面证明。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黑体_GBK"/>
          <w:kern w:val="0"/>
          <w:sz w:val="32"/>
          <w:szCs w:val="32"/>
        </w:rPr>
      </w:pPr>
      <w:r>
        <w:rPr>
          <w:rFonts w:hint="eastAsia" w:eastAsia="方正黑体_GBK"/>
          <w:kern w:val="0"/>
          <w:sz w:val="32"/>
          <w:szCs w:val="32"/>
          <w:lang w:eastAsia="zh"/>
        </w:rPr>
        <w:t>六、</w:t>
      </w:r>
      <w:r>
        <w:rPr>
          <w:rFonts w:hint="eastAsia" w:eastAsia="方正黑体_GBK"/>
          <w:kern w:val="0"/>
          <w:sz w:val="32"/>
          <w:szCs w:val="32"/>
        </w:rPr>
        <w:t>部门职责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楷体_GBK" w:cs="方正楷体_GBK"/>
          <w:sz w:val="32"/>
          <w:szCs w:val="32"/>
        </w:rPr>
      </w:pPr>
      <w:r>
        <w:rPr>
          <w:rFonts w:hint="eastAsia" w:eastAsia="方正楷体_GBK" w:cs="方正楷体_GBK"/>
          <w:sz w:val="32"/>
          <w:szCs w:val="32"/>
        </w:rPr>
        <w:t>（一）交通运输部门负责对以下信息进行审核：</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sz w:val="32"/>
          <w:szCs w:val="32"/>
        </w:rPr>
      </w:pPr>
      <w:r>
        <w:rPr>
          <w:rFonts w:hint="eastAsia" w:eastAsia="方正仿宋_GBK"/>
          <w:sz w:val="32"/>
          <w:szCs w:val="32"/>
        </w:rPr>
        <w:t>1</w:t>
      </w:r>
      <w:r>
        <w:rPr>
          <w:rFonts w:hint="eastAsia" w:eastAsia="方正仿宋_GBK"/>
          <w:kern w:val="0"/>
          <w:sz w:val="32"/>
          <w:szCs w:val="32"/>
        </w:rPr>
        <w:t>．</w:t>
      </w:r>
      <w:r>
        <w:rPr>
          <w:rFonts w:hint="eastAsia" w:eastAsia="方正仿宋_GBK"/>
          <w:sz w:val="32"/>
          <w:szCs w:val="32"/>
        </w:rPr>
        <w:t>企业的法定代表人身份证明、个体户的车辆所有人身份证明与营业执照一致，委托书有效；</w:t>
      </w:r>
      <w:r>
        <w:rPr>
          <w:rFonts w:hint="eastAsia" w:eastAsia="方正仿宋_GBK"/>
          <w:kern w:val="0"/>
          <w:sz w:val="32"/>
          <w:szCs w:val="32"/>
        </w:rPr>
        <w:t>申请人为分公司的，应当提交总公司营业执照、分公司营业执照、总公司法定代表人身份证明和总公司出具的授权委托书。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sz w:val="32"/>
          <w:szCs w:val="32"/>
        </w:rPr>
      </w:pPr>
      <w:r>
        <w:rPr>
          <w:rFonts w:hint="eastAsia" w:eastAsia="方正仿宋_GBK"/>
          <w:sz w:val="32"/>
          <w:szCs w:val="32"/>
        </w:rPr>
        <w:t>2</w:t>
      </w:r>
      <w:r>
        <w:rPr>
          <w:rFonts w:hint="eastAsia" w:eastAsia="方正仿宋_GBK"/>
          <w:kern w:val="0"/>
          <w:sz w:val="32"/>
          <w:szCs w:val="32"/>
        </w:rPr>
        <w:t>．</w:t>
      </w:r>
      <w:r>
        <w:rPr>
          <w:rFonts w:hint="eastAsia" w:eastAsia="方正仿宋_GBK"/>
          <w:sz w:val="32"/>
          <w:szCs w:val="32"/>
        </w:rPr>
        <w:t>《老旧营运货车报废更新补贴资金申请表》填写完整；车牌号码、车辆识别代号</w:t>
      </w:r>
      <w:bookmarkStart w:id="0" w:name="_GoBack"/>
      <w:bookmarkEnd w:id="0"/>
      <w:r>
        <w:rPr>
          <w:rFonts w:hint="eastAsia" w:eastAsia="方正仿宋_GBK"/>
          <w:sz w:val="32"/>
          <w:szCs w:val="32"/>
        </w:rPr>
        <w:t>、道路运输证号、品牌型号填报完整；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sz w:val="32"/>
          <w:szCs w:val="32"/>
        </w:rPr>
      </w:pPr>
      <w:r>
        <w:rPr>
          <w:rFonts w:hint="eastAsia" w:eastAsia="方正仿宋_GBK"/>
          <w:sz w:val="32"/>
          <w:szCs w:val="32"/>
        </w:rPr>
        <w:t>3</w:t>
      </w:r>
      <w:r>
        <w:rPr>
          <w:rFonts w:hint="eastAsia" w:eastAsia="方正仿宋_GBK"/>
          <w:kern w:val="0"/>
          <w:sz w:val="32"/>
          <w:szCs w:val="32"/>
        </w:rPr>
        <w:t>．</w:t>
      </w:r>
      <w:r>
        <w:rPr>
          <w:rFonts w:hint="eastAsia" w:eastAsia="方正仿宋_GBK"/>
          <w:sz w:val="32"/>
          <w:szCs w:val="32"/>
        </w:rPr>
        <w:t>营业执照与道路运输证业户一致；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sz w:val="32"/>
          <w:szCs w:val="32"/>
        </w:rPr>
      </w:pPr>
      <w:r>
        <w:rPr>
          <w:rFonts w:hint="eastAsia" w:eastAsia="方正仿宋_GBK"/>
          <w:sz w:val="32"/>
          <w:szCs w:val="32"/>
        </w:rPr>
        <w:t>4</w:t>
      </w:r>
      <w:r>
        <w:rPr>
          <w:rFonts w:hint="eastAsia" w:eastAsia="方正仿宋_GBK"/>
          <w:kern w:val="0"/>
          <w:sz w:val="32"/>
          <w:szCs w:val="32"/>
        </w:rPr>
        <w:t>．</w:t>
      </w:r>
      <w:r>
        <w:rPr>
          <w:rFonts w:hint="eastAsia" w:eastAsia="方正仿宋_GBK"/>
          <w:sz w:val="32"/>
          <w:szCs w:val="32"/>
        </w:rPr>
        <w:t>报废货车《道路运输证》注销日期在政策实施期内，且《道路运输证》注销日期不得早于公安机关开具的《机动车注销证明》日期；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sz w:val="32"/>
          <w:szCs w:val="32"/>
        </w:rPr>
      </w:pPr>
      <w:r>
        <w:rPr>
          <w:rFonts w:hint="eastAsia" w:eastAsia="方正仿宋_GBK"/>
          <w:sz w:val="32"/>
          <w:szCs w:val="32"/>
        </w:rPr>
        <w:t>5</w:t>
      </w:r>
      <w:r>
        <w:rPr>
          <w:rFonts w:hint="eastAsia" w:eastAsia="方正仿宋_GBK"/>
          <w:kern w:val="0"/>
          <w:sz w:val="32"/>
          <w:szCs w:val="32"/>
        </w:rPr>
        <w:t>．</w:t>
      </w:r>
      <w:r>
        <w:rPr>
          <w:rFonts w:hint="eastAsia" w:eastAsia="方正仿宋_GBK"/>
          <w:sz w:val="32"/>
          <w:szCs w:val="32"/>
        </w:rPr>
        <w:t>新购置车辆已办理有效的《道路运输证》</w:t>
      </w:r>
      <w:r>
        <w:rPr>
          <w:rFonts w:hint="eastAsia" w:eastAsia="方正仿宋_GBK"/>
          <w:sz w:val="32"/>
          <w:szCs w:val="32"/>
          <w:lang w:eastAsia="zh"/>
        </w:rPr>
        <w:t>，且</w:t>
      </w:r>
      <w:r>
        <w:rPr>
          <w:rFonts w:hint="eastAsia" w:eastAsia="方正仿宋_GBK"/>
          <w:sz w:val="32"/>
          <w:szCs w:val="32"/>
        </w:rPr>
        <w:t>《道路运输证》发证日期在政策实施期内；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sz w:val="32"/>
          <w:szCs w:val="32"/>
        </w:rPr>
      </w:pPr>
      <w:r>
        <w:rPr>
          <w:rFonts w:hint="eastAsia" w:eastAsia="方正仿宋_GBK"/>
          <w:sz w:val="32"/>
          <w:szCs w:val="32"/>
          <w:lang w:eastAsia="zh"/>
        </w:rPr>
        <w:t>6</w:t>
      </w:r>
      <w:r>
        <w:rPr>
          <w:rFonts w:hint="eastAsia" w:eastAsia="方正仿宋_GBK"/>
          <w:kern w:val="0"/>
          <w:sz w:val="32"/>
          <w:szCs w:val="32"/>
        </w:rPr>
        <w:t>．</w:t>
      </w:r>
      <w:r>
        <w:rPr>
          <w:rFonts w:hint="eastAsia" w:eastAsia="方正仿宋_GBK"/>
          <w:sz w:val="32"/>
          <w:szCs w:val="32"/>
        </w:rPr>
        <w:t>新购置新能源城市冷链配送货车生产厂家提供的符合《城市物流配送汽车选型技术要求》（GB/T 29912）书面证明；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sz w:val="32"/>
          <w:szCs w:val="32"/>
        </w:rPr>
      </w:pPr>
      <w:r>
        <w:rPr>
          <w:rFonts w:hint="eastAsia" w:eastAsia="方正仿宋_GBK"/>
          <w:sz w:val="32"/>
          <w:szCs w:val="32"/>
          <w:lang w:eastAsia="zh"/>
        </w:rPr>
        <w:t>7</w:t>
      </w:r>
      <w:r>
        <w:rPr>
          <w:rFonts w:hint="eastAsia" w:eastAsia="方正仿宋_GBK"/>
          <w:kern w:val="0"/>
          <w:sz w:val="32"/>
          <w:szCs w:val="32"/>
        </w:rPr>
        <w:t>．</w:t>
      </w:r>
      <w:r>
        <w:rPr>
          <w:rFonts w:hint="eastAsia" w:eastAsia="方正仿宋_GBK"/>
          <w:sz w:val="32"/>
          <w:szCs w:val="32"/>
        </w:rPr>
        <w:t>新购置新能源货车生产厂家提供的纳入《减免车辆购置税的新能源汽车车型目录》书面证明；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sz w:val="32"/>
          <w:szCs w:val="32"/>
        </w:rPr>
      </w:pPr>
      <w:r>
        <w:rPr>
          <w:rFonts w:hint="eastAsia" w:eastAsia="方正仿宋_GBK"/>
          <w:sz w:val="32"/>
          <w:szCs w:val="32"/>
          <w:lang w:eastAsia="zh"/>
        </w:rPr>
        <w:t>8</w:t>
      </w:r>
      <w:r>
        <w:rPr>
          <w:rFonts w:hint="eastAsia" w:eastAsia="方正仿宋_GBK"/>
          <w:kern w:val="0"/>
          <w:sz w:val="32"/>
          <w:szCs w:val="32"/>
        </w:rPr>
        <w:t>．</w:t>
      </w:r>
      <w:r>
        <w:rPr>
          <w:rFonts w:hint="eastAsia" w:eastAsia="方正仿宋_GBK"/>
          <w:sz w:val="32"/>
          <w:szCs w:val="32"/>
        </w:rPr>
        <w:t>报废货车《道路运输证》取得时间不得晚于新购置货车《机动车行驶证》注册日期。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楷体_GBK" w:cs="方正楷体_GBK"/>
          <w:sz w:val="32"/>
          <w:szCs w:val="32"/>
        </w:rPr>
      </w:pPr>
      <w:r>
        <w:rPr>
          <w:rFonts w:hint="eastAsia" w:eastAsia="方正楷体_GBK" w:cs="方正楷体_GBK"/>
          <w:sz w:val="32"/>
          <w:szCs w:val="32"/>
        </w:rPr>
        <w:t>（二）公安部门负责以下信息审核：</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sz w:val="32"/>
          <w:szCs w:val="32"/>
        </w:rPr>
      </w:pPr>
      <w:r>
        <w:rPr>
          <w:rFonts w:hint="eastAsia" w:eastAsia="方正仿宋_GBK"/>
          <w:sz w:val="32"/>
          <w:szCs w:val="32"/>
        </w:rPr>
        <w:t>1．报废货车《机动车注销证明》真实有效</w:t>
      </w:r>
      <w:r>
        <w:rPr>
          <w:rFonts w:hint="eastAsia" w:eastAsia="方正仿宋_GBK"/>
          <w:sz w:val="32"/>
          <w:szCs w:val="32"/>
          <w:lang w:eastAsia="zh"/>
        </w:rPr>
        <w:t>，且</w:t>
      </w:r>
      <w:r>
        <w:rPr>
          <w:rFonts w:hint="eastAsia" w:eastAsia="方正仿宋_GBK"/>
          <w:sz w:val="32"/>
          <w:szCs w:val="32"/>
        </w:rPr>
        <w:t>注销日期在政策实施期内；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sz w:val="32"/>
          <w:szCs w:val="32"/>
        </w:rPr>
      </w:pPr>
      <w:r>
        <w:rPr>
          <w:rFonts w:hint="eastAsia" w:eastAsia="方正仿宋_GBK"/>
          <w:sz w:val="32"/>
          <w:szCs w:val="32"/>
          <w:lang w:eastAsia="zh"/>
        </w:rPr>
        <w:t>2</w:t>
      </w:r>
      <w:r>
        <w:rPr>
          <w:rFonts w:hint="eastAsia" w:eastAsia="方正仿宋_GBK"/>
          <w:sz w:val="32"/>
          <w:szCs w:val="32"/>
        </w:rPr>
        <w:t>．新购置货车《机动车行驶证》真实有效</w:t>
      </w:r>
      <w:r>
        <w:rPr>
          <w:rFonts w:hint="eastAsia" w:eastAsia="方正仿宋_GBK"/>
          <w:sz w:val="32"/>
          <w:szCs w:val="32"/>
          <w:lang w:eastAsia="zh"/>
        </w:rPr>
        <w:t>，且初始</w:t>
      </w:r>
      <w:r>
        <w:rPr>
          <w:rFonts w:hint="eastAsia" w:eastAsia="方正仿宋_GBK"/>
          <w:sz w:val="32"/>
          <w:szCs w:val="32"/>
        </w:rPr>
        <w:t>登记日期在政策实施期内；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sz w:val="32"/>
          <w:szCs w:val="32"/>
        </w:rPr>
      </w:pPr>
      <w:r>
        <w:rPr>
          <w:rFonts w:hint="eastAsia" w:eastAsia="方正仿宋_GBK"/>
          <w:sz w:val="32"/>
          <w:szCs w:val="32"/>
        </w:rPr>
        <w:t>3．报废货车为国四及以下老旧营运货车；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sz w:val="32"/>
          <w:szCs w:val="32"/>
        </w:rPr>
      </w:pPr>
      <w:r>
        <w:rPr>
          <w:rFonts w:hint="eastAsia" w:eastAsia="方正仿宋_GBK"/>
          <w:sz w:val="32"/>
          <w:szCs w:val="32"/>
        </w:rPr>
        <w:t>4．报废更新时，新购置货车为新能源车辆或国六排放标准营运车辆，且为首次</w:t>
      </w:r>
      <w:r>
        <w:rPr>
          <w:rFonts w:hint="eastAsia" w:eastAsia="方正仿宋_GBK"/>
          <w:sz w:val="32"/>
          <w:szCs w:val="32"/>
          <w:lang w:eastAsia="zh"/>
        </w:rPr>
        <w:t>注册</w:t>
      </w:r>
      <w:r>
        <w:rPr>
          <w:rFonts w:hint="eastAsia" w:eastAsia="方正仿宋_GBK"/>
          <w:sz w:val="32"/>
          <w:szCs w:val="32"/>
        </w:rPr>
        <w:t>登记的新车；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sz w:val="32"/>
          <w:szCs w:val="32"/>
        </w:rPr>
      </w:pPr>
      <w:r>
        <w:rPr>
          <w:rFonts w:hint="eastAsia" w:eastAsia="方正仿宋_GBK"/>
          <w:sz w:val="32"/>
          <w:szCs w:val="32"/>
        </w:rPr>
        <w:t>5．仅新购置新能源城市冷链配送货车应为新能源车辆，且为首次</w:t>
      </w:r>
      <w:r>
        <w:rPr>
          <w:rFonts w:hint="eastAsia" w:eastAsia="方正仿宋_GBK"/>
          <w:sz w:val="32"/>
          <w:szCs w:val="32"/>
          <w:lang w:eastAsia="zh"/>
        </w:rPr>
        <w:t>注册</w:t>
      </w:r>
      <w:r>
        <w:rPr>
          <w:rFonts w:hint="eastAsia" w:eastAsia="方正仿宋_GBK"/>
          <w:sz w:val="32"/>
          <w:szCs w:val="32"/>
        </w:rPr>
        <w:t>登记的新车；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sz w:val="32"/>
          <w:szCs w:val="32"/>
        </w:rPr>
      </w:pPr>
      <w:r>
        <w:rPr>
          <w:rFonts w:hint="eastAsia" w:eastAsia="方正仿宋_GBK"/>
          <w:sz w:val="32"/>
          <w:szCs w:val="32"/>
          <w:lang w:eastAsia="zh"/>
        </w:rPr>
        <w:t>6</w:t>
      </w:r>
      <w:r>
        <w:rPr>
          <w:rFonts w:hint="eastAsia" w:eastAsia="方正仿宋_GBK"/>
          <w:sz w:val="32"/>
          <w:szCs w:val="32"/>
        </w:rPr>
        <w:t>．《老旧营运货车报废更新补贴资金申请表》中报废货车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sz w:val="32"/>
          <w:szCs w:val="32"/>
        </w:rPr>
      </w:pPr>
      <w:r>
        <w:rPr>
          <w:rFonts w:hint="eastAsia" w:eastAsia="方正仿宋_GBK"/>
          <w:sz w:val="32"/>
          <w:szCs w:val="32"/>
        </w:rPr>
        <w:t>和新购置货车的车辆类型、排放阶段、注册登记日期、注销日期、车轴数、新能源类型等真实准确。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楷体_GBK" w:cs="方正楷体_GBK"/>
          <w:sz w:val="32"/>
          <w:szCs w:val="32"/>
        </w:rPr>
      </w:pPr>
      <w:r>
        <w:rPr>
          <w:rFonts w:hint="eastAsia" w:eastAsia="方正楷体_GBK" w:cs="方正楷体_GBK"/>
          <w:sz w:val="32"/>
          <w:szCs w:val="32"/>
        </w:rPr>
        <w:t>（三）商务部门负责以下信息进行审核：</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sz w:val="32"/>
          <w:szCs w:val="32"/>
        </w:rPr>
      </w:pPr>
      <w:r>
        <w:rPr>
          <w:rFonts w:hint="eastAsia" w:eastAsia="方正仿宋_GBK"/>
          <w:sz w:val="32"/>
          <w:szCs w:val="32"/>
        </w:rPr>
        <w:t>1．报废货车《报废机动车回收证明》真实有效；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sz w:val="32"/>
          <w:szCs w:val="32"/>
        </w:rPr>
      </w:pPr>
      <w:r>
        <w:rPr>
          <w:rFonts w:hint="eastAsia" w:eastAsia="方正仿宋_GBK"/>
          <w:sz w:val="32"/>
          <w:szCs w:val="32"/>
        </w:rPr>
        <w:t>2．报废货车《报废机动车回收证明》在政策实施期内；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sz w:val="32"/>
          <w:szCs w:val="32"/>
        </w:rPr>
      </w:pPr>
      <w:r>
        <w:rPr>
          <w:rFonts w:hint="eastAsia" w:eastAsia="方正仿宋_GBK"/>
          <w:sz w:val="32"/>
          <w:szCs w:val="32"/>
        </w:rPr>
        <w:t>3．《老旧营运货车报废更新补贴资金申请表》中报废货车的报废日期真实准确，报废日期以《报废机动车回收证明》的交车日期为准。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黑体_GBK"/>
          <w:kern w:val="0"/>
          <w:sz w:val="32"/>
          <w:szCs w:val="32"/>
        </w:rPr>
      </w:pPr>
      <w:r>
        <w:rPr>
          <w:rFonts w:hint="eastAsia" w:eastAsia="方正黑体_GBK"/>
          <w:kern w:val="0"/>
          <w:sz w:val="32"/>
          <w:szCs w:val="32"/>
          <w:lang w:eastAsia="zh"/>
        </w:rPr>
        <w:t>七、申请及</w:t>
      </w:r>
      <w:r>
        <w:rPr>
          <w:rFonts w:hint="eastAsia" w:eastAsia="方正黑体_GBK"/>
          <w:kern w:val="0"/>
          <w:sz w:val="32"/>
          <w:szCs w:val="32"/>
        </w:rPr>
        <w:t>审核流程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cs="方正仿宋_GBK"/>
          <w:kern w:val="0"/>
          <w:sz w:val="32"/>
          <w:szCs w:val="32"/>
          <w:lang w:eastAsia="zh"/>
        </w:rPr>
      </w:pPr>
      <w:r>
        <w:rPr>
          <w:rFonts w:hint="eastAsia" w:eastAsia="方正仿宋_GBK" w:cs="方正仿宋_GBK"/>
          <w:kern w:val="0"/>
          <w:sz w:val="32"/>
          <w:szCs w:val="32"/>
          <w:lang w:eastAsia="zh"/>
        </w:rPr>
        <w:t>为落实</w:t>
      </w:r>
      <w:r>
        <w:rPr>
          <w:rFonts w:hint="eastAsia" w:eastAsia="方正仿宋_GBK"/>
          <w:kern w:val="0"/>
          <w:sz w:val="32"/>
          <w:szCs w:val="32"/>
          <w:lang w:eastAsia="zh"/>
        </w:rPr>
        <w:t>交办运﹝</w:t>
      </w:r>
      <w:r>
        <w:rPr>
          <w:rFonts w:hint="eastAsia" w:eastAsia="方正仿宋_GBK"/>
          <w:kern w:val="0"/>
          <w:sz w:val="32"/>
          <w:szCs w:val="32"/>
        </w:rPr>
        <w:t>2026</w:t>
      </w:r>
      <w:r>
        <w:rPr>
          <w:rFonts w:hint="eastAsia" w:eastAsia="方正仿宋_GBK"/>
          <w:kern w:val="0"/>
          <w:sz w:val="32"/>
          <w:szCs w:val="32"/>
          <w:lang w:eastAsia="zh"/>
        </w:rPr>
        <w:t>﹞29号</w:t>
      </w:r>
      <w:r>
        <w:rPr>
          <w:rFonts w:hint="eastAsia" w:eastAsia="方正仿宋_GBK"/>
          <w:kern w:val="0"/>
          <w:sz w:val="32"/>
          <w:szCs w:val="32"/>
        </w:rPr>
        <w:t>关于</w:t>
      </w:r>
      <w:r>
        <w:rPr>
          <w:rFonts w:hint="eastAsia" w:eastAsia="方正仿宋_GBK" w:cs="方正仿宋_GBK"/>
          <w:kern w:val="0"/>
          <w:sz w:val="32"/>
          <w:szCs w:val="32"/>
          <w:lang w:eastAsia="zh"/>
        </w:rPr>
        <w:t>“优先支持更新为电动货车”以及</w:t>
      </w:r>
      <w:r>
        <w:rPr>
          <w:rFonts w:hint="eastAsia" w:eastAsia="方正仿宋_GBK"/>
          <w:kern w:val="0"/>
          <w:sz w:val="32"/>
          <w:szCs w:val="32"/>
          <w:lang w:eastAsia="zh"/>
        </w:rPr>
        <w:t>“科学制定资金分配方案和使用计划，合理把握工作节奏、按月均衡使用”的部署</w:t>
      </w:r>
      <w:r>
        <w:rPr>
          <w:rFonts w:hint="eastAsia" w:eastAsia="方正仿宋_GBK" w:cs="方正仿宋_GBK"/>
          <w:kern w:val="0"/>
          <w:sz w:val="32"/>
          <w:szCs w:val="32"/>
          <w:lang w:eastAsia="zh"/>
        </w:rPr>
        <w:t>，</w:t>
      </w:r>
      <w:r>
        <w:rPr>
          <w:rFonts w:hint="eastAsia" w:eastAsia="方正仿宋_GBK"/>
          <w:kern w:val="0"/>
          <w:sz w:val="32"/>
          <w:szCs w:val="32"/>
          <w:lang w:eastAsia="zh"/>
        </w:rPr>
        <w:t>2026年</w:t>
      </w:r>
      <w:r>
        <w:rPr>
          <w:rFonts w:hint="eastAsia" w:eastAsia="方正仿宋_GBK" w:cs="方正仿宋_GBK"/>
          <w:kern w:val="0"/>
          <w:sz w:val="32"/>
          <w:szCs w:val="32"/>
          <w:lang w:eastAsia="zh"/>
        </w:rPr>
        <w:t>度补贴资金申请、审核采取以下操作方式。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楷体_GBK" w:cs="方正楷体_GBK"/>
          <w:kern w:val="0"/>
          <w:sz w:val="32"/>
          <w:szCs w:val="32"/>
          <w:lang w:eastAsia="zh"/>
        </w:rPr>
      </w:pPr>
      <w:r>
        <w:rPr>
          <w:rFonts w:hint="eastAsia" w:eastAsia="方正楷体_GBK" w:cs="方正楷体_GBK"/>
          <w:kern w:val="0"/>
          <w:sz w:val="32"/>
          <w:szCs w:val="32"/>
          <w:lang w:eastAsia="zh"/>
        </w:rPr>
        <w:t>（一）登记排序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cs="方正仿宋_GBK"/>
          <w:kern w:val="0"/>
          <w:sz w:val="32"/>
          <w:szCs w:val="32"/>
          <w:lang w:eastAsia="zh"/>
        </w:rPr>
      </w:pPr>
      <w:r>
        <w:rPr>
          <w:rFonts w:hint="eastAsia" w:eastAsia="方正仿宋_GBK" w:cs="方正仿宋_GBK"/>
          <w:kern w:val="0"/>
          <w:sz w:val="32"/>
          <w:szCs w:val="32"/>
          <w:lang w:eastAsia="zh"/>
        </w:rPr>
        <w:t>申请人提交资料登记后，按照提交时间依序获得登记序号。登记排序采取</w:t>
      </w:r>
      <w:r>
        <w:rPr>
          <w:rFonts w:hint="eastAsia" w:eastAsia="方正仿宋_GBK" w:cs="方正仿宋_GBK"/>
          <w:kern w:val="0"/>
          <w:sz w:val="32"/>
          <w:szCs w:val="32"/>
        </w:rPr>
        <w:t>报废</w:t>
      </w:r>
      <w:r>
        <w:rPr>
          <w:rFonts w:hint="eastAsia" w:eastAsia="方正仿宋_GBK"/>
          <w:kern w:val="0"/>
          <w:sz w:val="32"/>
          <w:szCs w:val="32"/>
        </w:rPr>
        <w:t>国四及以下排放标准营运货车</w:t>
      </w:r>
      <w:r>
        <w:rPr>
          <w:rFonts w:hint="eastAsia" w:eastAsia="方正仿宋_GBK" w:cs="方正仿宋_GBK"/>
          <w:kern w:val="0"/>
          <w:sz w:val="32"/>
          <w:szCs w:val="32"/>
        </w:rPr>
        <w:t>并新购新能源（电动）营运货车</w:t>
      </w:r>
      <w:r>
        <w:rPr>
          <w:rFonts w:hint="eastAsia" w:eastAsia="方正仿宋_GBK" w:cs="方正仿宋_GBK"/>
          <w:kern w:val="0"/>
          <w:sz w:val="32"/>
          <w:szCs w:val="32"/>
          <w:lang w:eastAsia="zh"/>
        </w:rPr>
        <w:t>单独排列</w:t>
      </w:r>
      <w:r>
        <w:rPr>
          <w:rFonts w:hint="eastAsia" w:eastAsia="方正仿宋_GBK" w:cs="方正仿宋_GBK"/>
          <w:kern w:val="0"/>
          <w:sz w:val="32"/>
          <w:szCs w:val="32"/>
          <w:lang w:bidi="ar"/>
        </w:rPr>
        <w:t>序号（优先保障类）</w:t>
      </w:r>
      <w:r>
        <w:rPr>
          <w:rFonts w:hint="eastAsia" w:eastAsia="方正仿宋_GBK" w:cs="方正仿宋_GBK"/>
          <w:kern w:val="0"/>
          <w:sz w:val="32"/>
          <w:szCs w:val="32"/>
          <w:lang w:eastAsia="zh" w:bidi="ar"/>
        </w:rPr>
        <w:t>，</w:t>
      </w:r>
      <w:r>
        <w:rPr>
          <w:rFonts w:hint="eastAsia" w:eastAsia="方正仿宋_GBK"/>
          <w:kern w:val="0"/>
          <w:sz w:val="32"/>
          <w:szCs w:val="32"/>
        </w:rPr>
        <w:t>报废国四及以下排放标准营运货车</w:t>
      </w:r>
      <w:r>
        <w:rPr>
          <w:rFonts w:hint="eastAsia" w:eastAsia="方正仿宋_GBK" w:cs="方正仿宋_GBK"/>
          <w:kern w:val="0"/>
          <w:sz w:val="32"/>
          <w:szCs w:val="32"/>
        </w:rPr>
        <w:t>、报废</w:t>
      </w:r>
      <w:r>
        <w:rPr>
          <w:rFonts w:hint="eastAsia" w:eastAsia="方正仿宋_GBK"/>
          <w:kern w:val="0"/>
          <w:sz w:val="32"/>
          <w:szCs w:val="32"/>
        </w:rPr>
        <w:t>国四及以下排放标准营运货车</w:t>
      </w:r>
      <w:r>
        <w:rPr>
          <w:rFonts w:hint="eastAsia" w:eastAsia="方正仿宋_GBK" w:cs="方正仿宋_GBK"/>
          <w:kern w:val="0"/>
          <w:sz w:val="32"/>
          <w:szCs w:val="32"/>
        </w:rPr>
        <w:t>并新购新能源（非电动）营运货车、报废</w:t>
      </w:r>
      <w:r>
        <w:rPr>
          <w:rFonts w:hint="eastAsia" w:eastAsia="方正仿宋_GBK"/>
          <w:kern w:val="0"/>
          <w:sz w:val="32"/>
          <w:szCs w:val="32"/>
        </w:rPr>
        <w:t>国四及以下排放标准营运货车</w:t>
      </w:r>
      <w:r>
        <w:rPr>
          <w:rFonts w:hint="eastAsia" w:eastAsia="方正仿宋_GBK" w:cs="方正仿宋_GBK"/>
          <w:kern w:val="0"/>
          <w:sz w:val="32"/>
          <w:szCs w:val="32"/>
        </w:rPr>
        <w:t>并新购国六排放标准营运货车以及仅新购新能源城市冷链配送货车四</w:t>
      </w:r>
      <w:r>
        <w:rPr>
          <w:rFonts w:hint="eastAsia" w:eastAsia="方正仿宋_GBK" w:cs="方正仿宋_GBK"/>
          <w:kern w:val="0"/>
          <w:sz w:val="32"/>
          <w:szCs w:val="32"/>
          <w:lang w:eastAsia="zh"/>
        </w:rPr>
        <w:t>种类型</w:t>
      </w:r>
      <w:r>
        <w:rPr>
          <w:rFonts w:hint="eastAsia" w:eastAsia="方正仿宋_GBK" w:cs="方正仿宋_GBK"/>
          <w:kern w:val="0"/>
          <w:sz w:val="32"/>
          <w:szCs w:val="32"/>
        </w:rPr>
        <w:t>共同</w:t>
      </w:r>
      <w:r>
        <w:rPr>
          <w:rFonts w:hint="eastAsia" w:eastAsia="方正仿宋_GBK" w:cs="方正仿宋_GBK"/>
          <w:kern w:val="0"/>
          <w:sz w:val="32"/>
          <w:szCs w:val="32"/>
          <w:lang w:eastAsia="zh"/>
        </w:rPr>
        <w:t>排列序号</w:t>
      </w:r>
      <w:r>
        <w:rPr>
          <w:rFonts w:hint="eastAsia" w:eastAsia="方正仿宋_GBK" w:cs="方正仿宋_GBK"/>
          <w:kern w:val="0"/>
          <w:sz w:val="32"/>
          <w:szCs w:val="32"/>
        </w:rPr>
        <w:t>（非优先保障类）</w:t>
      </w:r>
      <w:r>
        <w:rPr>
          <w:rFonts w:hint="eastAsia" w:eastAsia="方正仿宋_GBK" w:cs="方正仿宋_GBK"/>
          <w:kern w:val="0"/>
          <w:sz w:val="32"/>
          <w:szCs w:val="32"/>
          <w:lang w:eastAsia="zh"/>
        </w:rPr>
        <w:t>的方式。申请人登记完成后，</w:t>
      </w:r>
      <w:r>
        <w:rPr>
          <w:rFonts w:hint="eastAsia" w:eastAsia="方正仿宋_GBK" w:cs="方正仿宋_GBK"/>
          <w:kern w:val="0"/>
          <w:sz w:val="32"/>
          <w:szCs w:val="32"/>
        </w:rPr>
        <w:t>操作</w:t>
      </w:r>
      <w:r>
        <w:rPr>
          <w:rFonts w:hint="eastAsia" w:eastAsia="方正仿宋_GBK" w:cs="方正仿宋_GBK"/>
          <w:kern w:val="0"/>
          <w:sz w:val="32"/>
          <w:szCs w:val="32"/>
          <w:lang w:eastAsia="zh"/>
        </w:rPr>
        <w:t>系统页面将显示其登记的序号。</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楷体_GBK" w:cs="方正楷体_GBK"/>
          <w:kern w:val="0"/>
          <w:sz w:val="32"/>
          <w:szCs w:val="32"/>
          <w:lang w:eastAsia="zh"/>
        </w:rPr>
      </w:pPr>
      <w:r>
        <w:rPr>
          <w:rFonts w:hint="eastAsia" w:eastAsia="方正楷体_GBK" w:cs="方正楷体_GBK"/>
          <w:kern w:val="0"/>
          <w:sz w:val="32"/>
          <w:szCs w:val="32"/>
          <w:lang w:eastAsia="zh"/>
        </w:rPr>
        <w:t>（二）数据提取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cs="方正仿宋_GBK"/>
          <w:kern w:val="0"/>
          <w:sz w:val="32"/>
          <w:szCs w:val="32"/>
        </w:rPr>
      </w:pPr>
      <w:r>
        <w:rPr>
          <w:rFonts w:hint="eastAsia" w:eastAsia="方正仿宋_GBK" w:cs="方正仿宋_GBK"/>
          <w:kern w:val="0"/>
          <w:sz w:val="32"/>
          <w:szCs w:val="32"/>
        </w:rPr>
        <w:t>操作</w:t>
      </w:r>
      <w:r>
        <w:rPr>
          <w:rFonts w:hint="eastAsia" w:eastAsia="方正仿宋_GBK" w:cs="方正仿宋_GBK"/>
          <w:kern w:val="0"/>
          <w:sz w:val="32"/>
          <w:szCs w:val="32"/>
          <w:lang w:eastAsia="zh"/>
        </w:rPr>
        <w:t>系统将按照每月补贴资金限度，在已登记的申请中</w:t>
      </w:r>
      <w:r>
        <w:rPr>
          <w:rFonts w:hint="eastAsia" w:eastAsia="方正仿宋_GBK" w:cs="方正仿宋_GBK"/>
          <w:kern w:val="0"/>
          <w:sz w:val="32"/>
          <w:szCs w:val="32"/>
        </w:rPr>
        <w:t>依序</w:t>
      </w:r>
      <w:r>
        <w:rPr>
          <w:rFonts w:hint="eastAsia" w:eastAsia="方正仿宋_GBK" w:cs="方正仿宋_GBK"/>
          <w:kern w:val="0"/>
          <w:sz w:val="32"/>
          <w:szCs w:val="32"/>
          <w:lang w:eastAsia="zh"/>
        </w:rPr>
        <w:t>提取</w:t>
      </w:r>
      <w:r>
        <w:rPr>
          <w:rFonts w:hint="eastAsia" w:eastAsia="方正仿宋_GBK" w:cs="方正仿宋_GBK"/>
          <w:kern w:val="0"/>
          <w:sz w:val="32"/>
          <w:szCs w:val="32"/>
        </w:rPr>
        <w:t>相应的补贴登记资料，资料提取按照以下方式操作：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kern w:val="0"/>
          <w:sz w:val="32"/>
          <w:szCs w:val="32"/>
        </w:rPr>
      </w:pPr>
      <w:r>
        <w:rPr>
          <w:rFonts w:hint="eastAsia" w:eastAsia="方正仿宋_GBK"/>
          <w:kern w:val="0"/>
          <w:sz w:val="32"/>
          <w:szCs w:val="32"/>
        </w:rPr>
        <w:t>1．优先提取“</w:t>
      </w:r>
      <w:r>
        <w:rPr>
          <w:rFonts w:hint="eastAsia" w:eastAsia="方正仿宋_GBK"/>
          <w:kern w:val="0"/>
          <w:sz w:val="32"/>
          <w:szCs w:val="32"/>
          <w:lang w:eastAsia="zh"/>
        </w:rPr>
        <w:t>报废并新购</w:t>
      </w:r>
      <w:r>
        <w:rPr>
          <w:rFonts w:hint="eastAsia" w:eastAsia="方正仿宋_GBK"/>
          <w:kern w:val="0"/>
          <w:sz w:val="32"/>
          <w:szCs w:val="32"/>
        </w:rPr>
        <w:t>新能源（电动）营运</w:t>
      </w:r>
      <w:r>
        <w:rPr>
          <w:rFonts w:hint="eastAsia" w:eastAsia="方正仿宋_GBK"/>
          <w:kern w:val="0"/>
          <w:sz w:val="32"/>
          <w:szCs w:val="32"/>
          <w:lang w:eastAsia="zh"/>
        </w:rPr>
        <w:t>货车</w:t>
      </w:r>
      <w:r>
        <w:rPr>
          <w:rFonts w:hint="eastAsia" w:eastAsia="方正仿宋_GBK"/>
          <w:kern w:val="0"/>
          <w:sz w:val="32"/>
          <w:szCs w:val="32"/>
        </w:rPr>
        <w:t>”的申请资料；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kern w:val="0"/>
          <w:sz w:val="32"/>
          <w:szCs w:val="32"/>
        </w:rPr>
      </w:pPr>
      <w:r>
        <w:rPr>
          <w:rFonts w:hint="eastAsia" w:eastAsia="方正仿宋_GBK"/>
          <w:kern w:val="0"/>
          <w:sz w:val="32"/>
          <w:szCs w:val="32"/>
        </w:rPr>
        <w:t>2．若优先提取后当月仍有剩余资金，则依序提取其他四种类型共同排序的申请资料，直至当月资金限度用完为止；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kern w:val="0"/>
          <w:sz w:val="32"/>
          <w:szCs w:val="32"/>
        </w:rPr>
      </w:pPr>
      <w:r>
        <w:rPr>
          <w:rFonts w:hint="eastAsia" w:eastAsia="方正仿宋_GBK"/>
          <w:kern w:val="0"/>
          <w:sz w:val="32"/>
          <w:szCs w:val="32"/>
        </w:rPr>
        <w:t>3．若优先提取后当月资金已使用完毕，则不再提取。转为下一个月度在资金限度内按照上述方式重新提取补贴申请，下一月度提取时，将自上月截止的登记序号开始，依序提取。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kern w:val="0"/>
          <w:sz w:val="32"/>
          <w:szCs w:val="32"/>
        </w:rPr>
      </w:pPr>
      <w:r>
        <w:rPr>
          <w:rFonts w:hint="eastAsia" w:eastAsia="方正仿宋_GBK"/>
          <w:kern w:val="0"/>
          <w:sz w:val="32"/>
          <w:szCs w:val="32"/>
        </w:rPr>
        <w:t>4．若在两种排序方式提取申请资料后，仍未达到当月补贴资金限度，则申请人在提取时间后申报的资料，自动转入当月审核，直至当月资金限度用完为止。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kern w:val="0"/>
          <w:sz w:val="32"/>
          <w:szCs w:val="32"/>
        </w:rPr>
      </w:pPr>
      <w:r>
        <w:rPr>
          <w:rFonts w:hint="eastAsia" w:eastAsia="方正仿宋_GBK"/>
          <w:kern w:val="0"/>
          <w:sz w:val="32"/>
          <w:szCs w:val="32"/>
        </w:rPr>
        <w:t>5．操作系统第一次提取申请资料时间为6月11日，以后每月均在当月首个法定工作日提取，直至2027年1月。（7月为7月1日，8月为8月3日，9月为9月1日，10月为10月8日，11月为11月2日，12月为12月1日，2027年1月为1月4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kern w:val="0"/>
          <w:sz w:val="32"/>
          <w:szCs w:val="32"/>
          <w:lang w:bidi="ar"/>
        </w:rPr>
      </w:pPr>
      <w:r>
        <w:rPr>
          <w:rFonts w:hint="eastAsia" w:eastAsia="方正楷体_GBK" w:cs="方正楷体_GBK"/>
          <w:kern w:val="0"/>
          <w:sz w:val="32"/>
          <w:szCs w:val="32"/>
          <w:lang w:bidi="ar"/>
        </w:rPr>
        <w:t>（三）依序审核。</w:t>
      </w:r>
      <w:r>
        <w:rPr>
          <w:rFonts w:hint="eastAsia" w:eastAsia="方正仿宋_GBK"/>
          <w:kern w:val="0"/>
          <w:sz w:val="32"/>
          <w:szCs w:val="32"/>
          <w:lang w:bidi="ar"/>
        </w:rPr>
        <w:t>区县交通运输、公安、商务部门依照部门职责对操作系统提取的补贴申报信息及材料开展审核，审核不符合要求的，驳回申请。经区县交通运输、商务、公安部门审核通过的，由市交通运输、公安、商务部门依照部门职责，进行复核，复核不符合要求的，驳回申请。驳回时要一次性告知驳回原因。申报人对申报资料的真实性负责,区县审核申报资料的准确性,市级复核申报资料完整性。</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kern w:val="0"/>
          <w:sz w:val="32"/>
          <w:szCs w:val="32"/>
          <w:lang w:bidi="ar"/>
        </w:rPr>
      </w:pPr>
      <w:r>
        <w:rPr>
          <w:rFonts w:hint="eastAsia" w:eastAsia="方正楷体_GBK" w:cs="方正楷体_GBK"/>
          <w:kern w:val="0"/>
          <w:sz w:val="32"/>
          <w:szCs w:val="32"/>
          <w:lang w:bidi="ar"/>
        </w:rPr>
        <w:t>（四）资料补正。</w:t>
      </w:r>
      <w:r>
        <w:rPr>
          <w:rFonts w:hint="eastAsia" w:eastAsia="方正仿宋_GBK"/>
          <w:kern w:val="0"/>
          <w:sz w:val="32"/>
          <w:szCs w:val="32"/>
          <w:lang w:bidi="ar"/>
        </w:rPr>
        <w:t>对驳回的申请，道路货运业户应根据驳回理由核查申请信息及申报材料并及时完善调整</w:t>
      </w:r>
      <w:r>
        <w:rPr>
          <w:rFonts w:hint="eastAsia" w:eastAsia="方正仿宋_GBK"/>
          <w:kern w:val="0"/>
          <w:sz w:val="32"/>
          <w:szCs w:val="32"/>
        </w:rPr>
        <w:t>，并在3日内重新提交，逾期未提交的视为自动放弃登记资格。申请在市区两级的审核过程中因申请人原因导致驳回次数大于2次的，该申</w:t>
      </w:r>
      <w:r>
        <w:rPr>
          <w:rFonts w:hint="eastAsia" w:eastAsia="方正仿宋_GBK"/>
          <w:kern w:val="0"/>
          <w:sz w:val="32"/>
          <w:szCs w:val="32"/>
          <w:lang w:bidi="ar"/>
        </w:rPr>
        <w:t>请作废。申请人重新登记获得登记序号。</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trike/>
          <w:kern w:val="0"/>
          <w:sz w:val="32"/>
          <w:szCs w:val="32"/>
        </w:rPr>
      </w:pPr>
      <w:r>
        <w:rPr>
          <w:rFonts w:hint="eastAsia" w:eastAsia="方正楷体_GBK" w:cs="方正楷体_GBK"/>
          <w:kern w:val="0"/>
          <w:sz w:val="32"/>
          <w:szCs w:val="32"/>
          <w:lang w:bidi="ar"/>
        </w:rPr>
        <w:t>（五）补贴发放。</w:t>
      </w:r>
      <w:r>
        <w:rPr>
          <w:rFonts w:eastAsia="方正仿宋_GBK"/>
          <w:kern w:val="0"/>
          <w:sz w:val="32"/>
          <w:szCs w:val="32"/>
        </w:rPr>
        <w:t>经市级复核通过的，</w:t>
      </w:r>
      <w:r>
        <w:rPr>
          <w:rFonts w:hint="eastAsia" w:eastAsia="方正仿宋_GBK"/>
          <w:kern w:val="0"/>
          <w:sz w:val="32"/>
          <w:szCs w:val="32"/>
        </w:rPr>
        <w:t>市级</w:t>
      </w:r>
      <w:r>
        <w:rPr>
          <w:rFonts w:hint="eastAsia" w:eastAsia="方正仿宋_GBK"/>
          <w:kern w:val="0"/>
          <w:sz w:val="32"/>
          <w:szCs w:val="32"/>
          <w:lang w:bidi="ar"/>
        </w:rPr>
        <w:t>交通运输部门汇总形成《老旧营运货车报废更新补贴资金申请表》报市财政审核，经市财政审核通过后，</w:t>
      </w:r>
      <w:r>
        <w:rPr>
          <w:rFonts w:eastAsia="方正仿宋_GBK"/>
          <w:kern w:val="0"/>
          <w:sz w:val="32"/>
          <w:szCs w:val="32"/>
        </w:rPr>
        <w:t>依据相关规定向申请人拨付资金</w:t>
      </w:r>
      <w:r>
        <w:rPr>
          <w:rFonts w:hint="eastAsia" w:eastAsia="方正仿宋_GBK"/>
          <w:kern w:val="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黑体_GBK"/>
          <w:kern w:val="0"/>
          <w:sz w:val="32"/>
          <w:szCs w:val="32"/>
        </w:rPr>
      </w:pPr>
      <w:r>
        <w:rPr>
          <w:rFonts w:hint="eastAsia" w:eastAsia="方正黑体_GBK"/>
          <w:kern w:val="0"/>
          <w:sz w:val="32"/>
          <w:szCs w:val="32"/>
        </w:rPr>
        <w:t>八</w:t>
      </w:r>
      <w:r>
        <w:rPr>
          <w:rFonts w:eastAsia="方正黑体_GBK"/>
          <w:kern w:val="0"/>
          <w:sz w:val="32"/>
          <w:szCs w:val="32"/>
        </w:rPr>
        <w:t>、相关要求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kern w:val="0"/>
          <w:sz w:val="32"/>
          <w:szCs w:val="32"/>
        </w:rPr>
      </w:pPr>
      <w:r>
        <w:rPr>
          <w:rFonts w:hint="eastAsia" w:eastAsia="方正楷体_GBK" w:cs="方正楷体_GBK"/>
          <w:kern w:val="0"/>
          <w:sz w:val="32"/>
          <w:szCs w:val="32"/>
        </w:rPr>
        <w:t>（一）加强宣传引导。</w:t>
      </w:r>
      <w:r>
        <w:rPr>
          <w:rFonts w:eastAsia="方正仿宋_GBK"/>
          <w:kern w:val="0"/>
          <w:sz w:val="32"/>
          <w:szCs w:val="32"/>
        </w:rPr>
        <w:t>各区县交通运输、公安、商务等部门应加强宣传，鼓励引导动员广大道路货运经营业户主动报废更新老旧营运柴油货车，</w:t>
      </w:r>
      <w:r>
        <w:rPr>
          <w:rFonts w:hint="eastAsia" w:eastAsia="方正仿宋_GBK"/>
          <w:kern w:val="0"/>
          <w:sz w:val="32"/>
          <w:szCs w:val="32"/>
        </w:rPr>
        <w:t>在道路货运业户办理《道路运输证》注销手续时，交通运输部门办理人员应提醒业户先完成车辆报废并取得公安机关开具的《机动车注销证明》，</w:t>
      </w:r>
      <w:r>
        <w:rPr>
          <w:rFonts w:eastAsia="方正仿宋_GBK"/>
          <w:kern w:val="0"/>
          <w:sz w:val="32"/>
          <w:szCs w:val="32"/>
        </w:rPr>
        <w:t>逐步构建货运绿色低碳发展体系，更好服务加快建设交通强国等国家战略实施。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kern w:val="0"/>
          <w:sz w:val="32"/>
          <w:szCs w:val="32"/>
        </w:rPr>
      </w:pPr>
      <w:r>
        <w:rPr>
          <w:rFonts w:hint="eastAsia" w:eastAsia="方正楷体_GBK" w:cs="方正楷体_GBK"/>
          <w:kern w:val="0"/>
          <w:sz w:val="32"/>
          <w:szCs w:val="32"/>
        </w:rPr>
        <w:t>（二）强化部门协同。</w:t>
      </w:r>
      <w:r>
        <w:rPr>
          <w:rFonts w:eastAsia="方正仿宋_GBK"/>
          <w:kern w:val="0"/>
          <w:sz w:val="32"/>
          <w:szCs w:val="32"/>
        </w:rPr>
        <w:t>各区县交通运输、公安、商务等部门要充分认识老旧营运货车淘汰更新重要意义，建立定期沟通协调机制，根据各自职责密切配合，协同联动，做好相关工作，确保老旧营运货车报废更新工作顺利推进。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kern w:val="0"/>
          <w:sz w:val="32"/>
          <w:szCs w:val="32"/>
        </w:rPr>
      </w:pPr>
      <w:r>
        <w:rPr>
          <w:rFonts w:hint="eastAsia" w:eastAsia="方正楷体_GBK" w:cs="方正楷体_GBK"/>
          <w:kern w:val="0"/>
          <w:sz w:val="32"/>
          <w:szCs w:val="32"/>
        </w:rPr>
        <w:t>（三）严格申请审核。</w:t>
      </w:r>
      <w:r>
        <w:rPr>
          <w:rFonts w:eastAsia="方正仿宋_GBK"/>
          <w:kern w:val="0"/>
          <w:sz w:val="32"/>
          <w:szCs w:val="32"/>
        </w:rPr>
        <w:t>各区县交通运输、公安、商务等部门要认真审核申请人提交的补贴资金材料，对发现存在利用不正当手段（包括伪造、变造相关材料虚假交易、串通他人提供虚假信息等）骗取补贴资金等违法行为的，不予通过审核，并依法依规严肃处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eastAsia="方正仿宋_GBK" w:cs="方正仿宋_GBK"/>
          <w:kern w:val="0"/>
          <w:sz w:val="32"/>
          <w:szCs w:val="32"/>
          <w:lang w:val="en-US" w:eastAsia="zh-CN"/>
        </w:rPr>
      </w:pPr>
      <w:r>
        <w:rPr>
          <w:rFonts w:hint="eastAsia" w:eastAsia="方正楷体_GBK" w:cs="方正楷体_GBK"/>
          <w:kern w:val="0"/>
          <w:sz w:val="32"/>
          <w:szCs w:val="32"/>
        </w:rPr>
        <w:t>（四）确保行业稳定。</w:t>
      </w:r>
      <w:r>
        <w:rPr>
          <w:rFonts w:eastAsia="方正仿宋_GBK"/>
          <w:kern w:val="0"/>
          <w:sz w:val="32"/>
          <w:szCs w:val="32"/>
        </w:rPr>
        <w:t>各区县交通运输、公安、财政、商务等部门要提前研判稳定风险，科学制定应急预案，合理把握工作节奏和力度，对于道路货运经营业户关心关注的报废更新资金政策、办理流程要积极回应，努力营造良好舆论环境，切实维护行业健康稳定发展。</w:t>
      </w:r>
    </w:p>
    <w:sectPr>
      <w:headerReference r:id="rId3" w:type="default"/>
      <w:footerReference r:id="rId4" w:type="default"/>
      <w:pgSz w:w="11906" w:h="16838"/>
      <w:pgMar w:top="1962" w:right="1474" w:bottom="1848" w:left="1587" w:header="851" w:footer="992" w:gutter="0"/>
      <w:pgNumType w:fmt="numberInDash"/>
      <w:cols w:space="0"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sz w:val="32"/>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pPr>
      <w:pStyle w:val="5"/>
      <w:ind w:left="4788" w:leftChars="2280" w:firstLine="6400" w:firstLineChars="2000"/>
      <w:rPr>
        <w:sz w:val="32"/>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-3175</wp:posOffset>
              </wp:positionH>
              <wp:positionV relativeFrom="paragraph">
                <wp:posOffset>140335</wp:posOffset>
              </wp:positionV>
              <wp:extent cx="5615940" cy="0"/>
              <wp:effectExtent l="0" t="10795" r="3810" b="17780"/>
              <wp:wrapNone/>
              <wp:docPr id="11" name="直接连接符 11"/>
              <wp:cNvGraphicFramePr/>
              <a:graphic xmlns:a="http://schemas.openxmlformats.org/drawingml/2006/main">
                <a:graphicData uri="http://schemas.microsoft.com/office/word/2010/wordprocessingShape">
                  <wps:wsp>
                    <wps:cNvCnPr/>
                    <wps:spPr>
                      <a:xfrm>
                        <a:off x="0" y="0"/>
                        <a:ext cx="5615940"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25pt;margin-top:11.05pt;height:0pt;width:442.2pt;z-index:251660288;mso-width-relative:page;mso-height-relative:page;" filled="f" stroked="t" coordsize="21600,21600" o:gfxdata="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YfIVU9MAAAAH&#10;AQAADwAAAAAAAAABACAAAAAiAAAAZHJzL2Rvd25yZXYueG1sUEsBAhQAFAAAAAgAh07iQAlkppHo&#10;AQAAtAMAAA4AAAAAAAAAAQAgAAAAIgEAAGRycy9lMm9Eb2MueG1sUEsFBgAAAAAGAAYAWQEAAHwF&#10;AAAAAA==&#10;">
              <v:fill on="f" focussize="0,0"/>
              <v:stroke weight="1.75pt" color="#005192 [3204]" miterlimit="8" joinstyle="miter"/>
              <v:imagedata o:title=""/>
              <o:lock v:ext="edit" aspectratio="f"/>
            </v:line>
          </w:pict>
        </mc:Fallback>
      </mc:AlternateContent>
    </w:r>
  </w:p>
  <w:p>
    <w:pPr>
      <w:pStyle w:val="5"/>
      <w:wordWrap w:val="0"/>
      <w:jc w:val="right"/>
      <w:rPr>
        <w:rFonts w:ascii="宋体" w:hAnsi="宋体" w:eastAsia="宋体" w:cs="宋体"/>
        <w:b/>
        <w:bCs/>
        <w:color w:val="005192"/>
        <w:sz w:val="28"/>
        <w:szCs w:val="44"/>
      </w:rPr>
    </w:pPr>
    <w:r>
      <w:rPr>
        <w:rFonts w:hint="eastAsia" w:ascii="宋体" w:hAnsi="宋体" w:eastAsia="宋体" w:cs="宋体"/>
        <w:b/>
        <w:bCs/>
        <w:color w:val="005192"/>
        <w:sz w:val="28"/>
        <w:szCs w:val="44"/>
      </w:rPr>
      <w:t>重庆市交通运输委员会发布</w:t>
    </w:r>
    <w:r>
      <w:rPr>
        <w:rFonts w:ascii="宋体" w:hAnsi="宋体" w:eastAsia="宋体" w:cs="宋体"/>
        <w:b/>
        <w:bCs/>
        <w:color w:val="005192"/>
        <w:sz w:val="28"/>
        <w:szCs w:val="44"/>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extAlignment w:val="center"/>
      <w:rPr>
        <w:rFonts w:ascii="宋体" w:hAnsi="宋体" w:eastAsia="宋体" w:cs="宋体"/>
        <w:b/>
        <w:bCs/>
        <w:color w:val="005192"/>
        <w:sz w:val="32"/>
        <w:szCs w:val="32"/>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-2540</wp:posOffset>
              </wp:positionH>
              <wp:positionV relativeFrom="paragraph">
                <wp:posOffset>462280</wp:posOffset>
              </wp:positionV>
              <wp:extent cx="5615940" cy="11430"/>
              <wp:effectExtent l="0" t="0" r="0" b="0"/>
              <wp:wrapNone/>
              <wp:docPr id="2" name="直接连接符 2"/>
              <wp:cNvGraphicFramePr/>
              <a:graphic xmlns:a="http://schemas.openxmlformats.org/drawingml/2006/main">
                <a:graphicData uri="http://schemas.microsoft.com/office/word/2010/wordprocessingShape">
                  <wps:wsp>
                    <wps:cNvCnPr/>
                    <wps:spPr>
                      <a:xfrm>
                        <a:off x="4133850" y="864870"/>
                        <a:ext cx="5615940" cy="1143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2pt;margin-top:36.4pt;height:0.9pt;width:442.2pt;z-index:251659264;mso-width-relative:page;mso-height-relative:page;" filled="f" stroked="t" coordsize="21600,21600" o:gfxdata="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DIA7KHUAAAABwEAAA8AAAAAAAAAAQAgAAAAIgAAAGRycy9kb3ducmV2LnhtbFBLAQIU&#10;ABQAAAAIAIdO4kD+BNfB9wEAAMEDAAAOAAAAAAAAAAEAIAAAACMBAABkcnMvZTJvRG9jLnhtbFBL&#10;BQYAAAAABgAGAFkBAACMBQ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21590" b="21590"/>
          <wp:docPr id="3"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Hans"/>
      </w:rPr>
      <w:t>重庆市</w:t>
    </w:r>
    <w:r>
      <w:rPr>
        <w:rFonts w:hint="eastAsia" w:ascii="宋体" w:hAnsi="宋体" w:eastAsia="宋体" w:cs="宋体"/>
        <w:b/>
        <w:bCs/>
        <w:color w:val="005192"/>
        <w:sz w:val="32"/>
      </w:rPr>
      <w:t>交通</w:t>
    </w:r>
    <w:r>
      <w:rPr>
        <w:rFonts w:hint="eastAsia" w:ascii="宋体" w:hAnsi="宋体" w:eastAsia="宋体" w:cs="宋体"/>
        <w:b/>
        <w:bCs/>
        <w:color w:val="005192"/>
        <w:sz w:val="32"/>
        <w:lang w:eastAsia="zh-CN"/>
      </w:rPr>
      <w:t>运输委员会</w:t>
    </w:r>
    <w:r>
      <w:rPr>
        <w:rFonts w:hint="eastAsia" w:ascii="宋体" w:hAnsi="宋体" w:eastAsia="宋体" w:cs="宋体"/>
        <w:b/>
        <w:bCs/>
        <w:color w:val="005192"/>
        <w:sz w:val="32"/>
      </w:rPr>
      <w:t>行政</w:t>
    </w:r>
    <w:r>
      <w:rPr>
        <w:rFonts w:hint="eastAsia" w:ascii="宋体" w:hAnsi="宋体" w:eastAsia="宋体" w:cs="宋体"/>
        <w:b/>
        <w:bCs/>
        <w:color w:val="005192"/>
        <w:sz w:val="32"/>
        <w:szCs w:val="32"/>
        <w:lang w:eastAsia="zh-Hans"/>
      </w:rPr>
      <w:t>规范性文件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46989E"/>
    <w:multiLevelType w:val="singleLevel"/>
    <w:tmpl w:val="D646989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8"/>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NlNDFlNWI5OGY4MjQ4MTdlNjFlOWI0ZDY1NzAyMDMifQ=="/>
  </w:docVars>
  <w:rsids>
    <w:rsidRoot w:val="00172A27"/>
    <w:rsid w:val="00172A27"/>
    <w:rsid w:val="001975B8"/>
    <w:rsid w:val="001C13E4"/>
    <w:rsid w:val="00332C01"/>
    <w:rsid w:val="00336965"/>
    <w:rsid w:val="00670CF9"/>
    <w:rsid w:val="007E2A81"/>
    <w:rsid w:val="009E7D10"/>
    <w:rsid w:val="00A267E6"/>
    <w:rsid w:val="00EA2562"/>
    <w:rsid w:val="00EF2CCF"/>
    <w:rsid w:val="00F85489"/>
    <w:rsid w:val="00FA754C"/>
    <w:rsid w:val="019E71BD"/>
    <w:rsid w:val="01E93D58"/>
    <w:rsid w:val="04B679C3"/>
    <w:rsid w:val="05F07036"/>
    <w:rsid w:val="06E00104"/>
    <w:rsid w:val="07D76026"/>
    <w:rsid w:val="080F63D8"/>
    <w:rsid w:val="0843129B"/>
    <w:rsid w:val="09341458"/>
    <w:rsid w:val="098254C2"/>
    <w:rsid w:val="0A766EDE"/>
    <w:rsid w:val="0AD64BE8"/>
    <w:rsid w:val="0B0912D7"/>
    <w:rsid w:val="0E025194"/>
    <w:rsid w:val="0EEF0855"/>
    <w:rsid w:val="11DB7C71"/>
    <w:rsid w:val="13742125"/>
    <w:rsid w:val="152D2DCA"/>
    <w:rsid w:val="16133BFC"/>
    <w:rsid w:val="187168EA"/>
    <w:rsid w:val="196673CA"/>
    <w:rsid w:val="1CF734C9"/>
    <w:rsid w:val="1DEC284C"/>
    <w:rsid w:val="1E6523AC"/>
    <w:rsid w:val="22440422"/>
    <w:rsid w:val="22BB4BBB"/>
    <w:rsid w:val="25EB1AF4"/>
    <w:rsid w:val="277B211A"/>
    <w:rsid w:val="2C6D42C9"/>
    <w:rsid w:val="2DD05FE1"/>
    <w:rsid w:val="2EAE3447"/>
    <w:rsid w:val="31A15F24"/>
    <w:rsid w:val="36FB1DF0"/>
    <w:rsid w:val="395347B5"/>
    <w:rsid w:val="39A232A0"/>
    <w:rsid w:val="39E745AA"/>
    <w:rsid w:val="3B5A6BBB"/>
    <w:rsid w:val="3CA154E3"/>
    <w:rsid w:val="3EDA13A6"/>
    <w:rsid w:val="3FF56C14"/>
    <w:rsid w:val="417B75E9"/>
    <w:rsid w:val="42430A63"/>
    <w:rsid w:val="42F058B7"/>
    <w:rsid w:val="436109F6"/>
    <w:rsid w:val="441A38D4"/>
    <w:rsid w:val="4504239D"/>
    <w:rsid w:val="4BC77339"/>
    <w:rsid w:val="4C9236C5"/>
    <w:rsid w:val="4E250A85"/>
    <w:rsid w:val="4FFD4925"/>
    <w:rsid w:val="505C172E"/>
    <w:rsid w:val="506405EA"/>
    <w:rsid w:val="52F46F0B"/>
    <w:rsid w:val="532B6A10"/>
    <w:rsid w:val="539E4E99"/>
    <w:rsid w:val="53D8014D"/>
    <w:rsid w:val="550C209A"/>
    <w:rsid w:val="55E064E0"/>
    <w:rsid w:val="572C6D10"/>
    <w:rsid w:val="5DC34279"/>
    <w:rsid w:val="5FCD688E"/>
    <w:rsid w:val="5FF9BDAA"/>
    <w:rsid w:val="608816D1"/>
    <w:rsid w:val="60EF4E7F"/>
    <w:rsid w:val="648B0A32"/>
    <w:rsid w:val="658F6764"/>
    <w:rsid w:val="665233C1"/>
    <w:rsid w:val="69AC0D42"/>
    <w:rsid w:val="6AD9688B"/>
    <w:rsid w:val="6B68303F"/>
    <w:rsid w:val="6D0E3F22"/>
    <w:rsid w:val="744E4660"/>
    <w:rsid w:val="753355A2"/>
    <w:rsid w:val="759F1C61"/>
    <w:rsid w:val="769F2DE8"/>
    <w:rsid w:val="76FDEB7C"/>
    <w:rsid w:val="79C65162"/>
    <w:rsid w:val="79EE7E31"/>
    <w:rsid w:val="7C9011D9"/>
    <w:rsid w:val="7CE924C3"/>
    <w:rsid w:val="7DC651C5"/>
    <w:rsid w:val="7FCC2834"/>
    <w:rsid w:val="92DD1CEF"/>
    <w:rsid w:val="BD9D1569"/>
    <w:rsid w:val="EBDDA9D0"/>
    <w:rsid w:val="F05B4F69"/>
    <w:rsid w:val="F7F902F6"/>
    <w:rsid w:val="F97D9566"/>
    <w:rsid w:val="FDFF41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table of figures"/>
    <w:basedOn w:val="1"/>
    <w:next w:val="1"/>
    <w:qFormat/>
    <w:uiPriority w:val="0"/>
    <w:pPr>
      <w:ind w:left="200" w:leftChars="200" w:hanging="200" w:hangingChars="200"/>
    </w:pPr>
    <w:rPr>
      <w:rFonts w:eastAsia="Times New Roman"/>
    </w:rPr>
  </w:style>
  <w:style w:type="paragraph" w:styleId="7">
    <w:name w:val="Normal (Web)"/>
    <w:basedOn w:val="1"/>
    <w:qFormat/>
    <w:uiPriority w:val="99"/>
    <w:pPr>
      <w:spacing w:beforeAutospacing="1" w:afterAutospacing="1"/>
      <w:jc w:val="left"/>
    </w:pPr>
    <w:rPr>
      <w:rFonts w:cs="Times New Roman"/>
      <w:kern w:val="0"/>
      <w:sz w:val="24"/>
    </w:rPr>
  </w:style>
  <w:style w:type="character" w:styleId="10">
    <w:name w:val="Strong"/>
    <w:basedOn w:val="9"/>
    <w:qFormat/>
    <w:uiPriority w:val="0"/>
    <w:rPr>
      <w:b/>
      <w:bCs/>
    </w:rPr>
  </w:style>
  <w:style w:type="paragraph" w:customStyle="1" w:styleId="11">
    <w:name w:val="p0"/>
    <w:basedOn w:val="1"/>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8FA9299-8CA5-4124-B89E-0E5198E1CBCB}">
  <ds:schemaRefs/>
</ds:datastoreItem>
</file>

<file path=docProps/app.xml><?xml version="1.0" encoding="utf-8"?>
<Properties xmlns="http://schemas.openxmlformats.org/officeDocument/2006/extended-properties" xmlns:vt="http://schemas.openxmlformats.org/officeDocument/2006/docPropsVTypes">
  <Template>Normal</Template>
  <Pages>1</Pages>
  <Words>0</Words>
  <Characters>0</Characters>
  <Lines>0</Lines>
  <Paragraphs>0</Paragraphs>
  <TotalTime>2</TotalTime>
  <ScaleCrop>false</ScaleCrop>
  <LinksUpToDate>false</LinksUpToDate>
  <CharactersWithSpaces>0</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jtj</cp:lastModifiedBy>
  <cp:lastPrinted>2022-06-06T16:09:00Z</cp:lastPrinted>
  <dcterms:modified xsi:type="dcterms:W3CDTF">2026-07-28T09:18:42Z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48C61CB29D3F4D9384F5922CF0F7FFB4</vt:lpwstr>
  </property>
</Properties>
</file>